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80480">
      <w:pPr>
        <w:spacing w:line="400" w:lineRule="exact"/>
        <w:ind w:left="-195" w:leftChars="-65"/>
        <w:rPr>
          <w:rFonts w:hint="eastAsia" w:ascii="黑体" w:eastAsia="黑体"/>
          <w:szCs w:val="32"/>
        </w:rPr>
      </w:pPr>
      <w:r>
        <w:rPr>
          <w:rFonts w:hint="eastAsia" w:ascii="黑体" w:eastAsia="黑体"/>
          <w:szCs w:val="32"/>
        </w:rPr>
        <w:t>附件1</w:t>
      </w:r>
    </w:p>
    <w:p w14:paraId="3D6BE7E5">
      <w:pPr>
        <w:spacing w:after="414" w:afterLines="75" w:line="57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2026年上海市体育局决策咨询研究课题目录</w:t>
      </w:r>
    </w:p>
    <w:bookmarkEnd w:id="0"/>
    <w:tbl>
      <w:tblPr>
        <w:tblStyle w:val="5"/>
        <w:tblW w:w="15118" w:type="dxa"/>
        <w:jc w:val="center"/>
        <w:tblLayout w:type="autofit"/>
        <w:tblCellMar>
          <w:top w:w="0" w:type="dxa"/>
          <w:left w:w="108" w:type="dxa"/>
          <w:bottom w:w="0" w:type="dxa"/>
          <w:right w:w="108" w:type="dxa"/>
        </w:tblCellMar>
      </w:tblPr>
      <w:tblGrid>
        <w:gridCol w:w="819"/>
        <w:gridCol w:w="4602"/>
        <w:gridCol w:w="8243"/>
        <w:gridCol w:w="1454"/>
      </w:tblGrid>
      <w:tr w14:paraId="3459C97B">
        <w:tblPrEx>
          <w:tblCellMar>
            <w:top w:w="0" w:type="dxa"/>
            <w:left w:w="108" w:type="dxa"/>
            <w:bottom w:w="0" w:type="dxa"/>
            <w:right w:w="108" w:type="dxa"/>
          </w:tblCellMar>
        </w:tblPrEx>
        <w:trPr>
          <w:trHeight w:val="624" w:hRule="atLeast"/>
          <w:tblHeader/>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51A238FB">
            <w:pPr>
              <w:widowControl/>
              <w:jc w:val="center"/>
              <w:rPr>
                <w:rFonts w:eastAsia="等线"/>
                <w:kern w:val="0"/>
                <w:sz w:val="28"/>
                <w:szCs w:val="28"/>
              </w:rPr>
            </w:pPr>
            <w:r>
              <w:rPr>
                <w:rFonts w:hint="eastAsia" w:ascii="黑体" w:eastAsia="黑体"/>
                <w:kern w:val="0"/>
                <w:sz w:val="28"/>
                <w:szCs w:val="28"/>
              </w:rPr>
              <w:t>序号</w:t>
            </w:r>
          </w:p>
        </w:tc>
        <w:tc>
          <w:tcPr>
            <w:tcW w:w="4602" w:type="dxa"/>
            <w:tcBorders>
              <w:top w:val="single" w:color="auto" w:sz="4" w:space="0"/>
              <w:left w:val="nil"/>
              <w:bottom w:val="single" w:color="auto" w:sz="4" w:space="0"/>
              <w:right w:val="single" w:color="auto" w:sz="4" w:space="0"/>
            </w:tcBorders>
            <w:noWrap w:val="0"/>
            <w:vAlign w:val="center"/>
          </w:tcPr>
          <w:p w14:paraId="42D9AAF0">
            <w:pPr>
              <w:widowControl/>
              <w:jc w:val="center"/>
              <w:rPr>
                <w:rFonts w:eastAsia="等线"/>
                <w:kern w:val="0"/>
                <w:sz w:val="28"/>
                <w:szCs w:val="28"/>
              </w:rPr>
            </w:pPr>
            <w:r>
              <w:rPr>
                <w:rFonts w:hint="eastAsia" w:ascii="黑体" w:eastAsia="黑体"/>
                <w:kern w:val="0"/>
                <w:sz w:val="28"/>
                <w:szCs w:val="28"/>
              </w:rPr>
              <w:t>选题名称</w:t>
            </w:r>
          </w:p>
        </w:tc>
        <w:tc>
          <w:tcPr>
            <w:tcW w:w="8243" w:type="dxa"/>
            <w:tcBorders>
              <w:top w:val="single" w:color="auto" w:sz="4" w:space="0"/>
              <w:left w:val="nil"/>
              <w:bottom w:val="single" w:color="auto" w:sz="4" w:space="0"/>
              <w:right w:val="single" w:color="auto" w:sz="4" w:space="0"/>
            </w:tcBorders>
            <w:noWrap w:val="0"/>
            <w:vAlign w:val="center"/>
          </w:tcPr>
          <w:p w14:paraId="77168A5B">
            <w:pPr>
              <w:widowControl/>
              <w:jc w:val="center"/>
              <w:rPr>
                <w:rFonts w:eastAsia="等线"/>
                <w:kern w:val="0"/>
                <w:sz w:val="28"/>
                <w:szCs w:val="28"/>
              </w:rPr>
            </w:pPr>
            <w:r>
              <w:rPr>
                <w:rFonts w:hint="eastAsia" w:ascii="黑体" w:eastAsia="黑体"/>
                <w:kern w:val="0"/>
                <w:sz w:val="28"/>
                <w:szCs w:val="28"/>
              </w:rPr>
              <w:t>研究重点</w:t>
            </w:r>
          </w:p>
        </w:tc>
        <w:tc>
          <w:tcPr>
            <w:tcW w:w="1454" w:type="dxa"/>
            <w:tcBorders>
              <w:top w:val="single" w:color="auto" w:sz="4" w:space="0"/>
              <w:left w:val="nil"/>
              <w:bottom w:val="single" w:color="auto" w:sz="4" w:space="0"/>
              <w:right w:val="single" w:color="auto" w:sz="4" w:space="0"/>
            </w:tcBorders>
            <w:noWrap w:val="0"/>
            <w:vAlign w:val="center"/>
          </w:tcPr>
          <w:p w14:paraId="71316737">
            <w:pPr>
              <w:widowControl/>
              <w:spacing w:line="360" w:lineRule="exact"/>
              <w:jc w:val="center"/>
              <w:rPr>
                <w:rFonts w:hint="eastAsia" w:eastAsia="等线"/>
                <w:kern w:val="0"/>
                <w:sz w:val="28"/>
                <w:szCs w:val="28"/>
              </w:rPr>
            </w:pPr>
            <w:r>
              <w:rPr>
                <w:rFonts w:hint="eastAsia" w:ascii="黑体" w:eastAsia="黑体"/>
                <w:kern w:val="0"/>
                <w:sz w:val="28"/>
                <w:szCs w:val="28"/>
              </w:rPr>
              <w:t>课题类型</w:t>
            </w:r>
          </w:p>
        </w:tc>
      </w:tr>
      <w:tr w14:paraId="1AEDA9D1">
        <w:tblPrEx>
          <w:tblCellMar>
            <w:top w:w="0" w:type="dxa"/>
            <w:left w:w="108" w:type="dxa"/>
            <w:bottom w:w="0" w:type="dxa"/>
            <w:right w:w="108" w:type="dxa"/>
          </w:tblCellMar>
        </w:tblPrEx>
        <w:trPr>
          <w:trHeight w:val="2256" w:hRule="atLeast"/>
          <w:jc w:val="center"/>
        </w:trPr>
        <w:tc>
          <w:tcPr>
            <w:tcW w:w="819" w:type="dxa"/>
            <w:tcBorders>
              <w:top w:val="nil"/>
              <w:left w:val="single" w:color="auto" w:sz="4" w:space="0"/>
              <w:bottom w:val="single" w:color="auto" w:sz="4" w:space="0"/>
              <w:right w:val="single" w:color="auto" w:sz="4" w:space="0"/>
            </w:tcBorders>
            <w:noWrap w:val="0"/>
            <w:vAlign w:val="center"/>
          </w:tcPr>
          <w:p w14:paraId="4B44FC43">
            <w:pPr>
              <w:widowControl/>
              <w:jc w:val="center"/>
              <w:rPr>
                <w:rFonts w:eastAsia="等线"/>
                <w:kern w:val="0"/>
                <w:sz w:val="28"/>
                <w:szCs w:val="28"/>
              </w:rPr>
            </w:pPr>
            <w:r>
              <w:rPr>
                <w:rFonts w:eastAsia="等线"/>
                <w:kern w:val="0"/>
                <w:sz w:val="28"/>
                <w:szCs w:val="28"/>
              </w:rPr>
              <w:t>1</w:t>
            </w:r>
          </w:p>
        </w:tc>
        <w:tc>
          <w:tcPr>
            <w:tcW w:w="4602" w:type="dxa"/>
            <w:tcBorders>
              <w:top w:val="nil"/>
              <w:left w:val="nil"/>
              <w:bottom w:val="single" w:color="auto" w:sz="4" w:space="0"/>
              <w:right w:val="single" w:color="auto" w:sz="4" w:space="0"/>
            </w:tcBorders>
            <w:noWrap w:val="0"/>
            <w:vAlign w:val="center"/>
          </w:tcPr>
          <w:p w14:paraId="71EA7145">
            <w:pPr>
              <w:widowControl/>
              <w:ind w:left="-78" w:leftChars="-26" w:right="-42" w:rightChars="-14"/>
              <w:jc w:val="center"/>
              <w:textAlignment w:val="center"/>
              <w:rPr>
                <w:rFonts w:ascii="仿宋_GB2312" w:hAnsi="宋体" w:cs="宋体"/>
                <w:kern w:val="0"/>
                <w:sz w:val="28"/>
                <w:szCs w:val="28"/>
              </w:rPr>
            </w:pPr>
            <w:r>
              <w:rPr>
                <w:rFonts w:hint="eastAsia" w:ascii="仿宋_GB2312" w:hAnsi="宋体" w:cs="仿宋_GB2312"/>
                <w:kern w:val="0"/>
                <w:sz w:val="28"/>
                <w:szCs w:val="28"/>
                <w:lang w:bidi="ar"/>
              </w:rPr>
              <w:t>上海都市特色高质量户外运动目的地建设路径研究</w:t>
            </w:r>
          </w:p>
        </w:tc>
        <w:tc>
          <w:tcPr>
            <w:tcW w:w="8243" w:type="dxa"/>
            <w:tcBorders>
              <w:top w:val="nil"/>
              <w:left w:val="nil"/>
              <w:bottom w:val="single" w:color="auto" w:sz="4" w:space="0"/>
              <w:right w:val="single" w:color="auto" w:sz="4" w:space="0"/>
            </w:tcBorders>
            <w:noWrap w:val="0"/>
            <w:vAlign w:val="center"/>
          </w:tcPr>
          <w:p w14:paraId="4755D549">
            <w:pPr>
              <w:widowControl/>
              <w:textAlignment w:val="center"/>
              <w:rPr>
                <w:rFonts w:hint="eastAsia" w:cs="宋体"/>
                <w:kern w:val="0"/>
                <w:sz w:val="28"/>
                <w:szCs w:val="28"/>
              </w:rPr>
            </w:pPr>
            <w:r>
              <w:rPr>
                <w:rFonts w:hint="eastAsia" w:cs="仿宋_GB2312"/>
                <w:kern w:val="0"/>
                <w:sz w:val="28"/>
                <w:szCs w:val="28"/>
                <w:lang w:bidi="ar"/>
              </w:rPr>
              <w:t>研究分析当前上海户外运动产业发展的突出问题和政策堵点，对标柏林、纽约、新加坡等全球城市都市户外运动发展的典型案例（不少于3个），研究借鉴其在产品开发、服务供给、产业培育和消费场景打造等方面的成熟经验。研究提出“十五五”时期上海建设若干个全国高质量户外运动目的地的总体思路、重点任务和对策建议，形成崇明区高质量户外运动目的地建设建议方案。</w:t>
            </w:r>
          </w:p>
        </w:tc>
        <w:tc>
          <w:tcPr>
            <w:tcW w:w="1454" w:type="dxa"/>
            <w:tcBorders>
              <w:top w:val="nil"/>
              <w:left w:val="nil"/>
              <w:bottom w:val="single" w:color="auto" w:sz="4" w:space="0"/>
              <w:right w:val="single" w:color="auto" w:sz="4" w:space="0"/>
            </w:tcBorders>
            <w:noWrap w:val="0"/>
            <w:vAlign w:val="center"/>
          </w:tcPr>
          <w:p w14:paraId="5EE3A583">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重点课题</w:t>
            </w:r>
          </w:p>
        </w:tc>
      </w:tr>
      <w:tr w14:paraId="3999D220">
        <w:tblPrEx>
          <w:tblCellMar>
            <w:top w:w="0" w:type="dxa"/>
            <w:left w:w="108" w:type="dxa"/>
            <w:bottom w:w="0" w:type="dxa"/>
            <w:right w:w="108" w:type="dxa"/>
          </w:tblCellMar>
        </w:tblPrEx>
        <w:trPr>
          <w:trHeight w:val="2214" w:hRule="atLeast"/>
          <w:jc w:val="center"/>
        </w:trPr>
        <w:tc>
          <w:tcPr>
            <w:tcW w:w="819" w:type="dxa"/>
            <w:tcBorders>
              <w:top w:val="nil"/>
              <w:left w:val="single" w:color="auto" w:sz="4" w:space="0"/>
              <w:bottom w:val="single" w:color="auto" w:sz="4" w:space="0"/>
              <w:right w:val="single" w:color="auto" w:sz="4" w:space="0"/>
            </w:tcBorders>
            <w:noWrap w:val="0"/>
            <w:vAlign w:val="center"/>
          </w:tcPr>
          <w:p w14:paraId="475F1F90">
            <w:pPr>
              <w:widowControl/>
              <w:jc w:val="center"/>
              <w:rPr>
                <w:rFonts w:eastAsia="等线"/>
                <w:kern w:val="0"/>
                <w:sz w:val="28"/>
                <w:szCs w:val="28"/>
              </w:rPr>
            </w:pPr>
            <w:r>
              <w:rPr>
                <w:rFonts w:eastAsia="等线"/>
                <w:kern w:val="0"/>
                <w:sz w:val="28"/>
                <w:szCs w:val="28"/>
              </w:rPr>
              <w:t>2</w:t>
            </w:r>
          </w:p>
        </w:tc>
        <w:tc>
          <w:tcPr>
            <w:tcW w:w="4602" w:type="dxa"/>
            <w:tcBorders>
              <w:top w:val="nil"/>
              <w:left w:val="nil"/>
              <w:bottom w:val="single" w:color="auto" w:sz="4" w:space="0"/>
              <w:right w:val="single" w:color="auto" w:sz="4" w:space="0"/>
            </w:tcBorders>
            <w:noWrap w:val="0"/>
            <w:vAlign w:val="center"/>
          </w:tcPr>
          <w:p w14:paraId="79B8C4D4">
            <w:pPr>
              <w:widowControl/>
              <w:ind w:left="-78" w:leftChars="-26" w:right="-42" w:rightChars="-14"/>
              <w:jc w:val="center"/>
              <w:textAlignment w:val="center"/>
              <w:rPr>
                <w:rFonts w:ascii="仿宋_GB2312" w:hAnsi="宋体" w:cs="仿宋_GB2312"/>
                <w:kern w:val="0"/>
                <w:sz w:val="28"/>
                <w:szCs w:val="28"/>
                <w:lang w:bidi="ar"/>
              </w:rPr>
            </w:pPr>
            <w:r>
              <w:rPr>
                <w:rFonts w:hint="eastAsia" w:ascii="仿宋_GB2312" w:hAnsi="宋体" w:cs="仿宋_GB2312"/>
                <w:kern w:val="0"/>
                <w:sz w:val="28"/>
                <w:szCs w:val="28"/>
                <w:lang w:bidi="ar"/>
              </w:rPr>
              <w:t>民间外交视域下上海体育社会组织的功能重构、挑战应对与发展路径研究</w:t>
            </w:r>
          </w:p>
        </w:tc>
        <w:tc>
          <w:tcPr>
            <w:tcW w:w="8243" w:type="dxa"/>
            <w:tcBorders>
              <w:top w:val="nil"/>
              <w:left w:val="nil"/>
              <w:bottom w:val="single" w:color="auto" w:sz="4" w:space="0"/>
              <w:right w:val="single" w:color="auto" w:sz="4" w:space="0"/>
            </w:tcBorders>
            <w:noWrap w:val="0"/>
            <w:vAlign w:val="center"/>
          </w:tcPr>
          <w:p w14:paraId="4AB0235B">
            <w:pPr>
              <w:widowControl/>
              <w:ind w:left="-66" w:leftChars="-22" w:right="-72" w:rightChars="-24"/>
              <w:textAlignment w:val="center"/>
              <w:rPr>
                <w:rFonts w:hint="eastAsia" w:ascii="仿宋_GB2312" w:hAnsi="宋体" w:cs="仿宋_GB2312"/>
                <w:kern w:val="0"/>
                <w:sz w:val="28"/>
                <w:szCs w:val="28"/>
                <w:lang w:bidi="ar"/>
              </w:rPr>
            </w:pPr>
            <w:r>
              <w:rPr>
                <w:rFonts w:hint="eastAsia" w:ascii="仿宋_GB2312" w:hAnsi="宋体" w:cs="仿宋_GB2312"/>
                <w:kern w:val="0"/>
                <w:sz w:val="28"/>
                <w:szCs w:val="28"/>
                <w:lang w:bidi="ar"/>
              </w:rPr>
              <w:t>选取上海体育社会组织民间外交实践案例（不少于</w:t>
            </w:r>
            <w:r>
              <w:rPr>
                <w:kern w:val="0"/>
                <w:sz w:val="28"/>
                <w:szCs w:val="28"/>
                <w:lang w:bidi="ar"/>
              </w:rPr>
              <w:t>3</w:t>
            </w:r>
            <w:r>
              <w:rPr>
                <w:rFonts w:hint="eastAsia" w:ascii="仿宋_GB2312" w:hAnsi="宋体" w:cs="仿宋_GB2312"/>
                <w:kern w:val="0"/>
                <w:sz w:val="28"/>
                <w:szCs w:val="28"/>
                <w:lang w:bidi="ar"/>
              </w:rPr>
              <w:t>项）和国际案例（不少于</w:t>
            </w:r>
            <w:r>
              <w:rPr>
                <w:kern w:val="0"/>
                <w:sz w:val="28"/>
                <w:szCs w:val="28"/>
                <w:lang w:bidi="ar"/>
              </w:rPr>
              <w:t>2</w:t>
            </w:r>
            <w:r>
              <w:rPr>
                <w:rFonts w:hint="eastAsia" w:ascii="仿宋_GB2312" w:hAnsi="宋体" w:cs="仿宋_GB2312"/>
                <w:kern w:val="0"/>
                <w:sz w:val="28"/>
                <w:szCs w:val="28"/>
                <w:lang w:bidi="ar"/>
              </w:rPr>
              <w:t>项），研究分析社会组织在促进城市友好、传播海派文化、拓展公共外交渠道等方面的独特作用，并根据当前国际形势与地缘政治背景，分析提出制约体育社会组织开展民间外交的关键瓶颈，提出增强上海体育社会组织国际交往能力、创新交流模式的对策和建议。</w:t>
            </w:r>
          </w:p>
        </w:tc>
        <w:tc>
          <w:tcPr>
            <w:tcW w:w="1454" w:type="dxa"/>
            <w:tcBorders>
              <w:top w:val="nil"/>
              <w:left w:val="nil"/>
              <w:bottom w:val="single" w:color="auto" w:sz="4" w:space="0"/>
              <w:right w:val="single" w:color="auto" w:sz="4" w:space="0"/>
            </w:tcBorders>
            <w:noWrap w:val="0"/>
            <w:vAlign w:val="center"/>
          </w:tcPr>
          <w:p w14:paraId="0B2F9EFE">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重点课题</w:t>
            </w:r>
          </w:p>
        </w:tc>
      </w:tr>
      <w:tr w14:paraId="5FAB0617">
        <w:tblPrEx>
          <w:tblCellMar>
            <w:top w:w="0" w:type="dxa"/>
            <w:left w:w="108" w:type="dxa"/>
            <w:bottom w:w="0" w:type="dxa"/>
            <w:right w:w="108" w:type="dxa"/>
          </w:tblCellMar>
        </w:tblPrEx>
        <w:trPr>
          <w:trHeight w:val="1921" w:hRule="atLeast"/>
          <w:jc w:val="center"/>
        </w:trPr>
        <w:tc>
          <w:tcPr>
            <w:tcW w:w="819" w:type="dxa"/>
            <w:tcBorders>
              <w:top w:val="nil"/>
              <w:left w:val="single" w:color="auto" w:sz="4" w:space="0"/>
              <w:bottom w:val="single" w:color="auto" w:sz="4" w:space="0"/>
              <w:right w:val="single" w:color="auto" w:sz="4" w:space="0"/>
            </w:tcBorders>
            <w:noWrap w:val="0"/>
            <w:vAlign w:val="center"/>
          </w:tcPr>
          <w:p w14:paraId="767CD2C7">
            <w:pPr>
              <w:widowControl/>
              <w:jc w:val="center"/>
              <w:rPr>
                <w:rFonts w:eastAsia="等线"/>
                <w:kern w:val="0"/>
                <w:sz w:val="28"/>
                <w:szCs w:val="28"/>
              </w:rPr>
            </w:pPr>
            <w:r>
              <w:rPr>
                <w:rFonts w:eastAsia="等线"/>
                <w:kern w:val="0"/>
                <w:sz w:val="28"/>
                <w:szCs w:val="28"/>
              </w:rPr>
              <w:t>3</w:t>
            </w:r>
          </w:p>
        </w:tc>
        <w:tc>
          <w:tcPr>
            <w:tcW w:w="4602" w:type="dxa"/>
            <w:tcBorders>
              <w:top w:val="nil"/>
              <w:left w:val="nil"/>
              <w:bottom w:val="single" w:color="auto" w:sz="4" w:space="0"/>
              <w:right w:val="single" w:color="auto" w:sz="4" w:space="0"/>
            </w:tcBorders>
            <w:noWrap w:val="0"/>
            <w:vAlign w:val="center"/>
          </w:tcPr>
          <w:p w14:paraId="757FCB2F">
            <w:pPr>
              <w:spacing w:line="180" w:lineRule="atLeast"/>
              <w:ind w:left="-78" w:leftChars="-26" w:right="-42" w:rightChars="-14"/>
              <w:jc w:val="center"/>
              <w:rPr>
                <w:rFonts w:hint="eastAsia" w:cs="仿宋_GB2312"/>
                <w:sz w:val="28"/>
                <w:szCs w:val="28"/>
              </w:rPr>
            </w:pPr>
            <w:r>
              <w:rPr>
                <w:rFonts w:hint="eastAsia" w:cs="仿宋_GB2312"/>
                <w:sz w:val="28"/>
                <w:szCs w:val="28"/>
              </w:rPr>
              <w:t>上海都市型竞技体育训练体系贯通</w:t>
            </w:r>
          </w:p>
          <w:p w14:paraId="3811C23A">
            <w:pPr>
              <w:spacing w:line="180" w:lineRule="atLeast"/>
              <w:ind w:left="-78" w:leftChars="-26" w:right="-42" w:rightChars="-14"/>
              <w:jc w:val="center"/>
              <w:rPr>
                <w:rFonts w:hint="eastAsia" w:cs="仿宋_GB2312"/>
                <w:sz w:val="28"/>
                <w:szCs w:val="28"/>
              </w:rPr>
            </w:pPr>
            <w:r>
              <w:rPr>
                <w:rFonts w:hint="eastAsia" w:cs="仿宋_GB2312"/>
                <w:sz w:val="28"/>
                <w:szCs w:val="28"/>
              </w:rPr>
              <w:t>机制创新研究</w:t>
            </w:r>
          </w:p>
        </w:tc>
        <w:tc>
          <w:tcPr>
            <w:tcW w:w="8243" w:type="dxa"/>
            <w:tcBorders>
              <w:top w:val="nil"/>
              <w:left w:val="nil"/>
              <w:bottom w:val="single" w:color="auto" w:sz="4" w:space="0"/>
              <w:right w:val="single" w:color="auto" w:sz="4" w:space="0"/>
            </w:tcBorders>
            <w:noWrap w:val="0"/>
            <w:vAlign w:val="center"/>
          </w:tcPr>
          <w:p w14:paraId="5E76B87E">
            <w:pPr>
              <w:pStyle w:val="4"/>
              <w:spacing w:before="0" w:beforeAutospacing="0" w:after="0" w:afterAutospacing="0"/>
              <w:jc w:val="both"/>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围绕深化上海都市型竞技体育发展格局，强化运动员人才培养效能，打</w:t>
            </w:r>
            <w:r>
              <w:rPr>
                <w:rFonts w:hint="eastAsia" w:ascii="仿宋_GB2312" w:hAnsi="Times New Roman" w:eastAsia="仿宋_GB2312" w:cs="仿宋_GB2312"/>
                <w:sz w:val="28"/>
                <w:szCs w:val="28"/>
              </w:rPr>
              <w:t>造“一线引领、二线支撑、三线筑基”的</w:t>
            </w:r>
            <w:r>
              <w:rPr>
                <w:rFonts w:ascii="Times New Roman" w:hAnsi="Times New Roman" w:eastAsia="仿宋_GB2312" w:cs="仿宋_GB2312"/>
                <w:sz w:val="28"/>
                <w:szCs w:val="28"/>
              </w:rPr>
              <w:t>立体化训练体系</w:t>
            </w:r>
            <w:r>
              <w:rPr>
                <w:rFonts w:hint="eastAsia" w:ascii="Times New Roman" w:hAnsi="Times New Roman" w:eastAsia="仿宋_GB2312" w:cs="仿宋_GB2312"/>
                <w:sz w:val="28"/>
                <w:szCs w:val="28"/>
              </w:rPr>
              <w:t>，研究分析提出一二三线训练指导思想、发展定位、职责分工都能内容，并对体系贯通的组织协调、融合运行、政策保障等方面提出</w:t>
            </w:r>
            <w:r>
              <w:rPr>
                <w:rFonts w:ascii="Times New Roman" w:hAnsi="Times New Roman" w:eastAsia="仿宋_GB2312" w:cs="仿宋_GB2312"/>
                <w:sz w:val="28"/>
                <w:szCs w:val="28"/>
              </w:rPr>
              <w:t>对策建议。</w:t>
            </w:r>
          </w:p>
        </w:tc>
        <w:tc>
          <w:tcPr>
            <w:tcW w:w="1454" w:type="dxa"/>
            <w:tcBorders>
              <w:top w:val="nil"/>
              <w:left w:val="nil"/>
              <w:bottom w:val="single" w:color="auto" w:sz="4" w:space="0"/>
              <w:right w:val="single" w:color="auto" w:sz="4" w:space="0"/>
            </w:tcBorders>
            <w:noWrap w:val="0"/>
            <w:vAlign w:val="center"/>
          </w:tcPr>
          <w:p w14:paraId="48084842">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重点课题</w:t>
            </w:r>
          </w:p>
        </w:tc>
      </w:tr>
      <w:tr w14:paraId="598B53CF">
        <w:tblPrEx>
          <w:tblCellMar>
            <w:top w:w="0" w:type="dxa"/>
            <w:left w:w="108" w:type="dxa"/>
            <w:bottom w:w="0" w:type="dxa"/>
            <w:right w:w="108" w:type="dxa"/>
          </w:tblCellMar>
        </w:tblPrEx>
        <w:trPr>
          <w:trHeight w:val="1586" w:hRule="atLeast"/>
          <w:jc w:val="center"/>
        </w:trPr>
        <w:tc>
          <w:tcPr>
            <w:tcW w:w="819" w:type="dxa"/>
            <w:tcBorders>
              <w:top w:val="nil"/>
              <w:left w:val="single" w:color="auto" w:sz="4" w:space="0"/>
              <w:bottom w:val="single" w:color="auto" w:sz="4" w:space="0"/>
              <w:right w:val="single" w:color="auto" w:sz="4" w:space="0"/>
            </w:tcBorders>
            <w:noWrap w:val="0"/>
            <w:vAlign w:val="center"/>
          </w:tcPr>
          <w:p w14:paraId="225BFDEF">
            <w:pPr>
              <w:widowControl/>
              <w:jc w:val="center"/>
              <w:rPr>
                <w:rFonts w:eastAsia="等线"/>
                <w:kern w:val="0"/>
                <w:sz w:val="28"/>
                <w:szCs w:val="28"/>
              </w:rPr>
            </w:pPr>
            <w:r>
              <w:rPr>
                <w:rFonts w:eastAsia="等线"/>
                <w:kern w:val="0"/>
                <w:sz w:val="28"/>
                <w:szCs w:val="28"/>
              </w:rPr>
              <w:t>4</w:t>
            </w:r>
          </w:p>
        </w:tc>
        <w:tc>
          <w:tcPr>
            <w:tcW w:w="4602" w:type="dxa"/>
            <w:tcBorders>
              <w:top w:val="nil"/>
              <w:left w:val="nil"/>
              <w:bottom w:val="single" w:color="auto" w:sz="4" w:space="0"/>
              <w:right w:val="single" w:color="auto" w:sz="4" w:space="0"/>
            </w:tcBorders>
            <w:noWrap w:val="0"/>
            <w:vAlign w:val="center"/>
          </w:tcPr>
          <w:p w14:paraId="2CC637BB">
            <w:pPr>
              <w:widowControl/>
              <w:ind w:left="-51" w:leftChars="-17" w:right="-54" w:rightChars="-18"/>
              <w:jc w:val="center"/>
              <w:textAlignment w:val="center"/>
              <w:rPr>
                <w:rFonts w:hint="eastAsia" w:ascii="仿宋_GB2312" w:hAnsi="宋体" w:cs="宋体"/>
                <w:kern w:val="0"/>
                <w:sz w:val="28"/>
                <w:szCs w:val="28"/>
              </w:rPr>
            </w:pPr>
            <w:r>
              <w:rPr>
                <w:rFonts w:hint="eastAsia" w:ascii="仿宋_GB2312" w:hAnsi="宋体" w:cs="宋体"/>
                <w:kern w:val="0"/>
                <w:sz w:val="28"/>
                <w:szCs w:val="28"/>
              </w:rPr>
              <w:t>上海全民健身公共服务体系的效能</w:t>
            </w:r>
          </w:p>
          <w:p w14:paraId="1478DD86">
            <w:pPr>
              <w:widowControl/>
              <w:ind w:left="-51" w:leftChars="-17" w:right="-54" w:rightChars="-18"/>
              <w:jc w:val="center"/>
              <w:textAlignment w:val="center"/>
              <w:rPr>
                <w:rFonts w:hint="eastAsia" w:ascii="仿宋_GB2312" w:hAnsi="等线" w:cs="仿宋_GB2312"/>
                <w:kern w:val="0"/>
                <w:sz w:val="28"/>
                <w:szCs w:val="28"/>
                <w:lang w:bidi="ar"/>
              </w:rPr>
            </w:pPr>
            <w:r>
              <w:rPr>
                <w:rFonts w:hint="eastAsia" w:ascii="仿宋_GB2312" w:hAnsi="宋体" w:cs="宋体"/>
                <w:kern w:val="0"/>
                <w:sz w:val="28"/>
                <w:szCs w:val="28"/>
              </w:rPr>
              <w:t>评估与治理创新研究</w:t>
            </w:r>
          </w:p>
        </w:tc>
        <w:tc>
          <w:tcPr>
            <w:tcW w:w="8243" w:type="dxa"/>
            <w:tcBorders>
              <w:top w:val="nil"/>
              <w:left w:val="nil"/>
              <w:bottom w:val="single" w:color="auto" w:sz="4" w:space="0"/>
              <w:right w:val="single" w:color="auto" w:sz="4" w:space="0"/>
            </w:tcBorders>
            <w:noWrap w:val="0"/>
            <w:vAlign w:val="center"/>
          </w:tcPr>
          <w:p w14:paraId="2CFE8C20">
            <w:pPr>
              <w:widowControl/>
              <w:textAlignment w:val="center"/>
              <w:rPr>
                <w:rFonts w:cs="仿宋_GB2312"/>
                <w:kern w:val="0"/>
                <w:sz w:val="28"/>
                <w:szCs w:val="28"/>
                <w:lang w:bidi="ar"/>
              </w:rPr>
            </w:pPr>
            <w:r>
              <w:rPr>
                <w:rFonts w:hint="eastAsia" w:cs="仿宋_GB2312"/>
                <w:kern w:val="0"/>
                <w:sz w:val="28"/>
                <w:szCs w:val="28"/>
                <w:lang w:bidi="ar"/>
              </w:rPr>
              <w:t>收集分析上海居民参与全民健身情况、满意度与健康成效（样本量不少于1000个，深度访谈不少于15个），分析现有全民健身公共服务体系存在的短板弱项，针对性提出“十五五”时期，提升全民健身公共服务质效的实现路径和创新发展政策建议。</w:t>
            </w:r>
          </w:p>
        </w:tc>
        <w:tc>
          <w:tcPr>
            <w:tcW w:w="1454" w:type="dxa"/>
            <w:tcBorders>
              <w:top w:val="nil"/>
              <w:left w:val="nil"/>
              <w:bottom w:val="single" w:color="auto" w:sz="4" w:space="0"/>
              <w:right w:val="single" w:color="auto" w:sz="4" w:space="0"/>
            </w:tcBorders>
            <w:noWrap w:val="0"/>
            <w:vAlign w:val="center"/>
          </w:tcPr>
          <w:p w14:paraId="43E5319D">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重点课题</w:t>
            </w:r>
          </w:p>
        </w:tc>
      </w:tr>
      <w:tr w14:paraId="6108DB61">
        <w:tblPrEx>
          <w:tblCellMar>
            <w:top w:w="0" w:type="dxa"/>
            <w:left w:w="108" w:type="dxa"/>
            <w:bottom w:w="0" w:type="dxa"/>
            <w:right w:w="108" w:type="dxa"/>
          </w:tblCellMar>
        </w:tblPrEx>
        <w:trPr>
          <w:trHeight w:val="2647" w:hRule="atLeast"/>
          <w:jc w:val="center"/>
        </w:trPr>
        <w:tc>
          <w:tcPr>
            <w:tcW w:w="819" w:type="dxa"/>
            <w:tcBorders>
              <w:top w:val="nil"/>
              <w:left w:val="single" w:color="auto" w:sz="4" w:space="0"/>
              <w:bottom w:val="single" w:color="auto" w:sz="4" w:space="0"/>
              <w:right w:val="single" w:color="auto" w:sz="4" w:space="0"/>
            </w:tcBorders>
            <w:noWrap w:val="0"/>
            <w:vAlign w:val="center"/>
          </w:tcPr>
          <w:p w14:paraId="5B3534B5">
            <w:pPr>
              <w:widowControl/>
              <w:jc w:val="center"/>
              <w:rPr>
                <w:rFonts w:hint="eastAsia" w:eastAsia="等线"/>
                <w:kern w:val="0"/>
                <w:sz w:val="28"/>
                <w:szCs w:val="28"/>
              </w:rPr>
            </w:pPr>
            <w:r>
              <w:rPr>
                <w:rFonts w:hint="eastAsia" w:eastAsia="等线"/>
                <w:kern w:val="0"/>
                <w:sz w:val="28"/>
                <w:szCs w:val="28"/>
              </w:rPr>
              <w:t>5</w:t>
            </w:r>
          </w:p>
        </w:tc>
        <w:tc>
          <w:tcPr>
            <w:tcW w:w="4602" w:type="dxa"/>
            <w:tcBorders>
              <w:top w:val="nil"/>
              <w:left w:val="nil"/>
              <w:bottom w:val="single" w:color="auto" w:sz="4" w:space="0"/>
              <w:right w:val="single" w:color="auto" w:sz="4" w:space="0"/>
            </w:tcBorders>
            <w:noWrap w:val="0"/>
            <w:vAlign w:val="center"/>
          </w:tcPr>
          <w:p w14:paraId="6730486E">
            <w:pPr>
              <w:widowControl/>
              <w:ind w:left="-51" w:leftChars="-17" w:right="-54" w:rightChars="-18"/>
              <w:jc w:val="center"/>
              <w:textAlignment w:val="center"/>
              <w:rPr>
                <w:rFonts w:hint="eastAsia" w:ascii="仿宋_GB2312" w:hAnsi="宋体" w:cs="宋体"/>
                <w:kern w:val="0"/>
                <w:sz w:val="28"/>
                <w:szCs w:val="28"/>
              </w:rPr>
            </w:pPr>
            <w:r>
              <w:rPr>
                <w:rFonts w:hint="eastAsia" w:ascii="仿宋_GB2312" w:hAnsi="宋体" w:cs="宋体"/>
                <w:kern w:val="0"/>
                <w:sz w:val="28"/>
                <w:szCs w:val="28"/>
              </w:rPr>
              <w:t>城市商务楼宇中布局运动场地与提升效能路径研究</w:t>
            </w:r>
          </w:p>
        </w:tc>
        <w:tc>
          <w:tcPr>
            <w:tcW w:w="8243" w:type="dxa"/>
            <w:tcBorders>
              <w:top w:val="nil"/>
              <w:left w:val="nil"/>
              <w:bottom w:val="single" w:color="auto" w:sz="4" w:space="0"/>
              <w:right w:val="single" w:color="auto" w:sz="4" w:space="0"/>
            </w:tcBorders>
            <w:noWrap w:val="0"/>
            <w:vAlign w:val="center"/>
          </w:tcPr>
          <w:p w14:paraId="1ED73D07">
            <w:pPr>
              <w:widowControl/>
              <w:textAlignment w:val="center"/>
              <w:rPr>
                <w:rFonts w:ascii="仿宋_GB2312" w:hAnsi="宋体" w:cs="宋体"/>
                <w:kern w:val="0"/>
                <w:sz w:val="28"/>
                <w:szCs w:val="28"/>
              </w:rPr>
            </w:pPr>
            <w:r>
              <w:rPr>
                <w:rFonts w:hint="eastAsia" w:ascii="仿宋_GB2312" w:hAnsi="宋体" w:cs="宋体"/>
                <w:kern w:val="0"/>
                <w:sz w:val="28"/>
                <w:szCs w:val="28"/>
              </w:rPr>
              <w:t>针对上海中心城区体育场地设施不足和商务楼宇可利用空间丰富等现象，对标国际国内经验，分析商务楼宇可租售空间以及屋顶平台、地下室、高层连廊等可利用空间，用于布局运动场地时面临合规性及安全评估、产权模糊、审批规范、空间价值评估等堵点难点问题，研究提出容积率奖励、租金补贴等产权方激励政策、跨部门联合协调机制以及市场化运营模式等工作路径，有效提升商务楼宇利用效能。</w:t>
            </w:r>
          </w:p>
        </w:tc>
        <w:tc>
          <w:tcPr>
            <w:tcW w:w="1454" w:type="dxa"/>
            <w:tcBorders>
              <w:top w:val="nil"/>
              <w:left w:val="nil"/>
              <w:bottom w:val="single" w:color="auto" w:sz="4" w:space="0"/>
              <w:right w:val="single" w:color="auto" w:sz="4" w:space="0"/>
            </w:tcBorders>
            <w:noWrap w:val="0"/>
            <w:vAlign w:val="center"/>
          </w:tcPr>
          <w:p w14:paraId="1DDC794B">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重点课题</w:t>
            </w:r>
          </w:p>
        </w:tc>
      </w:tr>
      <w:tr w14:paraId="48D10189">
        <w:tblPrEx>
          <w:tblCellMar>
            <w:top w:w="0" w:type="dxa"/>
            <w:left w:w="108" w:type="dxa"/>
            <w:bottom w:w="0" w:type="dxa"/>
            <w:right w:w="108" w:type="dxa"/>
          </w:tblCellMar>
        </w:tblPrEx>
        <w:trPr>
          <w:trHeight w:val="1934" w:hRule="atLeast"/>
          <w:jc w:val="center"/>
        </w:trPr>
        <w:tc>
          <w:tcPr>
            <w:tcW w:w="819" w:type="dxa"/>
            <w:tcBorders>
              <w:top w:val="nil"/>
              <w:left w:val="single" w:color="auto" w:sz="4" w:space="0"/>
              <w:bottom w:val="single" w:color="auto" w:sz="4" w:space="0"/>
              <w:right w:val="single" w:color="auto" w:sz="4" w:space="0"/>
            </w:tcBorders>
            <w:noWrap w:val="0"/>
            <w:vAlign w:val="center"/>
          </w:tcPr>
          <w:p w14:paraId="6AB56247">
            <w:pPr>
              <w:widowControl/>
              <w:jc w:val="center"/>
              <w:rPr>
                <w:rFonts w:hint="eastAsia" w:eastAsia="等线"/>
                <w:kern w:val="0"/>
                <w:sz w:val="28"/>
                <w:szCs w:val="28"/>
              </w:rPr>
            </w:pPr>
            <w:r>
              <w:rPr>
                <w:rFonts w:hint="eastAsia" w:eastAsia="等线"/>
                <w:kern w:val="0"/>
                <w:sz w:val="28"/>
                <w:szCs w:val="28"/>
              </w:rPr>
              <w:t>6</w:t>
            </w:r>
          </w:p>
        </w:tc>
        <w:tc>
          <w:tcPr>
            <w:tcW w:w="4602" w:type="dxa"/>
            <w:tcBorders>
              <w:top w:val="nil"/>
              <w:left w:val="nil"/>
              <w:bottom w:val="single" w:color="auto" w:sz="4" w:space="0"/>
              <w:right w:val="single" w:color="auto" w:sz="4" w:space="0"/>
            </w:tcBorders>
            <w:noWrap w:val="0"/>
            <w:vAlign w:val="center"/>
          </w:tcPr>
          <w:p w14:paraId="26165E6F">
            <w:pPr>
              <w:widowControl/>
              <w:ind w:left="-51" w:leftChars="-17" w:right="-54" w:rightChars="-18"/>
              <w:jc w:val="center"/>
              <w:textAlignment w:val="center"/>
              <w:rPr>
                <w:rFonts w:hint="eastAsia" w:ascii="仿宋_GB2312" w:hAnsi="宋体" w:cs="宋体"/>
                <w:kern w:val="0"/>
                <w:sz w:val="28"/>
                <w:szCs w:val="28"/>
              </w:rPr>
            </w:pPr>
            <w:r>
              <w:rPr>
                <w:rFonts w:hint="eastAsia" w:ascii="仿宋_GB2312" w:hAnsi="宋体" w:cs="宋体"/>
                <w:kern w:val="0"/>
                <w:sz w:val="28"/>
                <w:szCs w:val="28"/>
              </w:rPr>
              <w:t>上海大众体育节“赛节融合”运营</w:t>
            </w:r>
          </w:p>
          <w:p w14:paraId="19FB62A0">
            <w:pPr>
              <w:widowControl/>
              <w:ind w:left="-51" w:leftChars="-17" w:right="-54" w:rightChars="-18"/>
              <w:jc w:val="center"/>
              <w:textAlignment w:val="center"/>
              <w:rPr>
                <w:rFonts w:ascii="仿宋_GB2312" w:hAnsi="宋体" w:cs="宋体"/>
                <w:kern w:val="0"/>
                <w:sz w:val="28"/>
                <w:szCs w:val="28"/>
              </w:rPr>
            </w:pPr>
            <w:r>
              <w:rPr>
                <w:rFonts w:hint="eastAsia" w:ascii="仿宋_GB2312" w:hAnsi="宋体" w:cs="宋体"/>
                <w:kern w:val="0"/>
                <w:sz w:val="28"/>
                <w:szCs w:val="28"/>
              </w:rPr>
              <w:t>模式与长效发展机制研究</w:t>
            </w:r>
          </w:p>
        </w:tc>
        <w:tc>
          <w:tcPr>
            <w:tcW w:w="8243" w:type="dxa"/>
            <w:tcBorders>
              <w:top w:val="nil"/>
              <w:left w:val="nil"/>
              <w:bottom w:val="single" w:color="auto" w:sz="4" w:space="0"/>
              <w:right w:val="single" w:color="auto" w:sz="4" w:space="0"/>
            </w:tcBorders>
            <w:noWrap w:val="0"/>
            <w:vAlign w:val="center"/>
          </w:tcPr>
          <w:p w14:paraId="33931EBB">
            <w:pPr>
              <w:widowControl/>
              <w:textAlignment w:val="center"/>
              <w:rPr>
                <w:rFonts w:ascii="仿宋_GB2312" w:hAnsi="宋体" w:cs="宋体"/>
                <w:kern w:val="0"/>
                <w:sz w:val="28"/>
                <w:szCs w:val="28"/>
              </w:rPr>
            </w:pPr>
            <w:r>
              <w:rPr>
                <w:rFonts w:hint="eastAsia" w:ascii="仿宋_GB2312" w:hAnsi="宋体" w:cs="宋体"/>
                <w:kern w:val="0"/>
                <w:sz w:val="28"/>
                <w:szCs w:val="28"/>
              </w:rPr>
              <w:t>研究分析上海大众体育节与城市业余联赛协同发展运营模式，深入访谈办赛主体（不少于</w:t>
            </w:r>
            <w:r>
              <w:rPr>
                <w:kern w:val="0"/>
                <w:sz w:val="28"/>
                <w:szCs w:val="28"/>
              </w:rPr>
              <w:t>3家）与消费终端品牌企业（不少于5</w:t>
            </w:r>
            <w:r>
              <w:rPr>
                <w:rFonts w:hint="eastAsia" w:ascii="仿宋_GB2312" w:hAnsi="宋体" w:cs="宋体"/>
                <w:kern w:val="0"/>
                <w:sz w:val="28"/>
                <w:szCs w:val="28"/>
              </w:rPr>
              <w:t>家）以文商旅体展融合发展理念，研究提出大众体育节通过赛事引流实现消费转化路径，形成大众体育节功能提升、与市场深度融合、扩大活动覆盖面和影响力的对策建议，构建综合绩效评估框架。</w:t>
            </w:r>
          </w:p>
        </w:tc>
        <w:tc>
          <w:tcPr>
            <w:tcW w:w="1454" w:type="dxa"/>
            <w:tcBorders>
              <w:top w:val="nil"/>
              <w:left w:val="nil"/>
              <w:bottom w:val="single" w:color="auto" w:sz="4" w:space="0"/>
              <w:right w:val="single" w:color="auto" w:sz="4" w:space="0"/>
            </w:tcBorders>
            <w:noWrap w:val="0"/>
            <w:vAlign w:val="center"/>
          </w:tcPr>
          <w:p w14:paraId="6073267C">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r w14:paraId="5CEC50BA">
        <w:tblPrEx>
          <w:tblCellMar>
            <w:top w:w="0" w:type="dxa"/>
            <w:left w:w="108" w:type="dxa"/>
            <w:bottom w:w="0" w:type="dxa"/>
            <w:right w:w="108" w:type="dxa"/>
          </w:tblCellMar>
        </w:tblPrEx>
        <w:trPr>
          <w:trHeight w:val="1571" w:hRule="atLeast"/>
          <w:jc w:val="center"/>
        </w:trPr>
        <w:tc>
          <w:tcPr>
            <w:tcW w:w="819" w:type="dxa"/>
            <w:tcBorders>
              <w:top w:val="nil"/>
              <w:left w:val="single" w:color="auto" w:sz="4" w:space="0"/>
              <w:bottom w:val="single" w:color="auto" w:sz="4" w:space="0"/>
              <w:right w:val="single" w:color="auto" w:sz="4" w:space="0"/>
            </w:tcBorders>
            <w:noWrap w:val="0"/>
            <w:vAlign w:val="center"/>
          </w:tcPr>
          <w:p w14:paraId="181899BC">
            <w:pPr>
              <w:widowControl/>
              <w:jc w:val="center"/>
              <w:rPr>
                <w:rFonts w:hint="eastAsia" w:eastAsia="等线"/>
                <w:kern w:val="0"/>
                <w:sz w:val="28"/>
                <w:szCs w:val="28"/>
              </w:rPr>
            </w:pPr>
            <w:r>
              <w:rPr>
                <w:rFonts w:hint="eastAsia" w:eastAsia="等线"/>
                <w:kern w:val="0"/>
                <w:sz w:val="28"/>
                <w:szCs w:val="28"/>
              </w:rPr>
              <w:t>7</w:t>
            </w:r>
          </w:p>
        </w:tc>
        <w:tc>
          <w:tcPr>
            <w:tcW w:w="4602" w:type="dxa"/>
            <w:tcBorders>
              <w:top w:val="nil"/>
              <w:left w:val="nil"/>
              <w:bottom w:val="single" w:color="auto" w:sz="4" w:space="0"/>
              <w:right w:val="single" w:color="auto" w:sz="4" w:space="0"/>
            </w:tcBorders>
            <w:noWrap w:val="0"/>
            <w:vAlign w:val="center"/>
          </w:tcPr>
          <w:p w14:paraId="1F8339B8">
            <w:pPr>
              <w:ind w:left="-78" w:leftChars="-26" w:right="-54" w:rightChars="-18"/>
              <w:jc w:val="center"/>
              <w:rPr>
                <w:rFonts w:hint="eastAsia" w:cs="仿宋_GB2312"/>
                <w:sz w:val="28"/>
                <w:szCs w:val="28"/>
              </w:rPr>
            </w:pPr>
            <w:r>
              <w:rPr>
                <w:rFonts w:hint="eastAsia" w:cs="仿宋_GB2312"/>
                <w:sz w:val="28"/>
                <w:szCs w:val="28"/>
              </w:rPr>
              <w:t>上海非奥运动项目促进体育消费扩容提质研究</w:t>
            </w:r>
          </w:p>
        </w:tc>
        <w:tc>
          <w:tcPr>
            <w:tcW w:w="8243" w:type="dxa"/>
            <w:tcBorders>
              <w:top w:val="nil"/>
              <w:left w:val="nil"/>
              <w:bottom w:val="single" w:color="auto" w:sz="4" w:space="0"/>
              <w:right w:val="single" w:color="auto" w:sz="4" w:space="0"/>
            </w:tcBorders>
            <w:noWrap w:val="0"/>
            <w:vAlign w:val="center"/>
          </w:tcPr>
          <w:p w14:paraId="58F4A5FB">
            <w:pPr>
              <w:rPr>
                <w:rFonts w:cs="仿宋_GB2312"/>
              </w:rPr>
            </w:pPr>
            <w:r>
              <w:rPr>
                <w:rFonts w:hint="eastAsia" w:cs="仿宋_GB2312"/>
                <w:kern w:val="0"/>
                <w:sz w:val="28"/>
                <w:szCs w:val="28"/>
                <w:lang w:bidi="ar"/>
              </w:rPr>
              <w:t>系统梳理上海非奥运动项目产业基础、市场主体现状与特色消费场景，遴选具有消费潜力的项目（不少于3项），研究分析其目前发展短板及与文旅、商业、城市空间深度融合机制，提出项目市场培育、优化供给、促进消费的对策建议和政策参考。</w:t>
            </w:r>
          </w:p>
        </w:tc>
        <w:tc>
          <w:tcPr>
            <w:tcW w:w="1454" w:type="dxa"/>
            <w:tcBorders>
              <w:top w:val="nil"/>
              <w:left w:val="nil"/>
              <w:bottom w:val="single" w:color="auto" w:sz="4" w:space="0"/>
              <w:right w:val="single" w:color="auto" w:sz="4" w:space="0"/>
            </w:tcBorders>
            <w:noWrap w:val="0"/>
            <w:vAlign w:val="center"/>
          </w:tcPr>
          <w:p w14:paraId="66F0D03C">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r w14:paraId="4B5E4F36">
        <w:tblPrEx>
          <w:tblCellMar>
            <w:top w:w="0" w:type="dxa"/>
            <w:left w:w="108" w:type="dxa"/>
            <w:bottom w:w="0" w:type="dxa"/>
            <w:right w:w="108" w:type="dxa"/>
          </w:tblCellMar>
        </w:tblPrEx>
        <w:trPr>
          <w:trHeight w:val="1907" w:hRule="atLeast"/>
          <w:jc w:val="center"/>
        </w:trPr>
        <w:tc>
          <w:tcPr>
            <w:tcW w:w="819" w:type="dxa"/>
            <w:tcBorders>
              <w:top w:val="nil"/>
              <w:left w:val="single" w:color="auto" w:sz="4" w:space="0"/>
              <w:bottom w:val="single" w:color="auto" w:sz="4" w:space="0"/>
              <w:right w:val="single" w:color="auto" w:sz="4" w:space="0"/>
            </w:tcBorders>
            <w:noWrap w:val="0"/>
            <w:vAlign w:val="center"/>
          </w:tcPr>
          <w:p w14:paraId="40DF6C68">
            <w:pPr>
              <w:widowControl/>
              <w:jc w:val="center"/>
              <w:rPr>
                <w:rFonts w:hint="eastAsia" w:eastAsia="等线"/>
                <w:kern w:val="0"/>
                <w:sz w:val="28"/>
                <w:szCs w:val="28"/>
              </w:rPr>
            </w:pPr>
            <w:r>
              <w:rPr>
                <w:rFonts w:hint="eastAsia" w:eastAsia="等线"/>
                <w:kern w:val="0"/>
                <w:sz w:val="28"/>
                <w:szCs w:val="28"/>
              </w:rPr>
              <w:t>8</w:t>
            </w:r>
          </w:p>
        </w:tc>
        <w:tc>
          <w:tcPr>
            <w:tcW w:w="4602" w:type="dxa"/>
            <w:tcBorders>
              <w:top w:val="nil"/>
              <w:left w:val="nil"/>
              <w:bottom w:val="single" w:color="auto" w:sz="4" w:space="0"/>
              <w:right w:val="single" w:color="auto" w:sz="4" w:space="0"/>
            </w:tcBorders>
            <w:noWrap w:val="0"/>
            <w:vAlign w:val="center"/>
          </w:tcPr>
          <w:p w14:paraId="5AF7EBAC">
            <w:pPr>
              <w:widowControl/>
              <w:ind w:left="-66" w:leftChars="-22" w:right="-42" w:rightChars="-14"/>
              <w:jc w:val="center"/>
              <w:textAlignment w:val="center"/>
              <w:rPr>
                <w:rFonts w:hint="eastAsia" w:ascii="仿宋_GB2312" w:hAnsi="宋体" w:cs="宋体"/>
                <w:kern w:val="0"/>
                <w:sz w:val="28"/>
                <w:szCs w:val="28"/>
              </w:rPr>
            </w:pPr>
            <w:r>
              <w:rPr>
                <w:rFonts w:hint="eastAsia" w:ascii="仿宋_GB2312" w:hAnsi="宋体" w:cs="宋体"/>
                <w:kern w:val="0"/>
                <w:sz w:val="28"/>
                <w:szCs w:val="28"/>
              </w:rPr>
              <w:t>上海加快培育社区运动与健康服务</w:t>
            </w:r>
          </w:p>
          <w:p w14:paraId="5A637EEA">
            <w:pPr>
              <w:widowControl/>
              <w:ind w:left="-66" w:leftChars="-22" w:right="-42" w:rightChars="-14"/>
              <w:jc w:val="center"/>
              <w:textAlignment w:val="center"/>
              <w:rPr>
                <w:rFonts w:hint="eastAsia" w:ascii="仿宋_GB2312" w:hAnsi="宋体" w:cs="宋体"/>
                <w:kern w:val="0"/>
                <w:sz w:val="28"/>
                <w:szCs w:val="28"/>
              </w:rPr>
            </w:pPr>
            <w:r>
              <w:rPr>
                <w:rFonts w:hint="eastAsia" w:ascii="仿宋_GB2312" w:hAnsi="宋体" w:cs="宋体"/>
                <w:kern w:val="0"/>
                <w:sz w:val="28"/>
                <w:szCs w:val="28"/>
              </w:rPr>
              <w:t>场景研究</w:t>
            </w:r>
          </w:p>
        </w:tc>
        <w:tc>
          <w:tcPr>
            <w:tcW w:w="8243" w:type="dxa"/>
            <w:tcBorders>
              <w:top w:val="nil"/>
              <w:left w:val="nil"/>
              <w:bottom w:val="single" w:color="auto" w:sz="4" w:space="0"/>
              <w:right w:val="single" w:color="auto" w:sz="4" w:space="0"/>
            </w:tcBorders>
            <w:noWrap w:val="0"/>
            <w:vAlign w:val="center"/>
          </w:tcPr>
          <w:p w14:paraId="6C5D3DCF">
            <w:pPr>
              <w:widowControl/>
              <w:textAlignment w:val="center"/>
              <w:rPr>
                <w:rFonts w:ascii="仿宋_GB2312" w:hAnsi="宋体" w:cs="宋体"/>
                <w:kern w:val="0"/>
                <w:sz w:val="28"/>
                <w:szCs w:val="28"/>
              </w:rPr>
            </w:pPr>
            <w:r>
              <w:rPr>
                <w:rFonts w:hint="eastAsia" w:ascii="仿宋_GB2312" w:hAnsi="宋体" w:cs="宋体"/>
                <w:kern w:val="0"/>
                <w:sz w:val="28"/>
                <w:szCs w:val="28"/>
              </w:rPr>
              <w:t>系统梳理上海运动促进健康空间及相关社区运动与健康服务场景布局现状，对标国际城市（不少于</w:t>
            </w:r>
            <w:r>
              <w:rPr>
                <w:kern w:val="0"/>
                <w:sz w:val="28"/>
                <w:szCs w:val="28"/>
              </w:rPr>
              <w:t>3</w:t>
            </w:r>
            <w:r>
              <w:rPr>
                <w:rFonts w:hint="eastAsia" w:ascii="仿宋_GB2312" w:hAnsi="宋体" w:cs="宋体"/>
                <w:kern w:val="0"/>
                <w:sz w:val="28"/>
                <w:szCs w:val="28"/>
              </w:rPr>
              <w:t>个）有益经验，分析上海运动健康空间布局及场景构建的薄弱环节与现实瓶颈，研究提出“十五五”时期，上海结合运动促进健康空间覆盖，培育社区运动与健康服务场景的路径和策略。</w:t>
            </w:r>
          </w:p>
        </w:tc>
        <w:tc>
          <w:tcPr>
            <w:tcW w:w="1454" w:type="dxa"/>
            <w:tcBorders>
              <w:top w:val="nil"/>
              <w:left w:val="nil"/>
              <w:bottom w:val="single" w:color="auto" w:sz="4" w:space="0"/>
              <w:right w:val="single" w:color="auto" w:sz="4" w:space="0"/>
            </w:tcBorders>
            <w:noWrap w:val="0"/>
            <w:vAlign w:val="center"/>
          </w:tcPr>
          <w:p w14:paraId="01C4065D">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r w14:paraId="78458F66">
        <w:tblPrEx>
          <w:tblCellMar>
            <w:top w:w="0" w:type="dxa"/>
            <w:left w:w="108" w:type="dxa"/>
            <w:bottom w:w="0" w:type="dxa"/>
            <w:right w:w="108" w:type="dxa"/>
          </w:tblCellMar>
        </w:tblPrEx>
        <w:trPr>
          <w:trHeight w:val="1612" w:hRule="atLeast"/>
          <w:jc w:val="center"/>
        </w:trPr>
        <w:tc>
          <w:tcPr>
            <w:tcW w:w="819" w:type="dxa"/>
            <w:tcBorders>
              <w:top w:val="nil"/>
              <w:left w:val="single" w:color="auto" w:sz="4" w:space="0"/>
              <w:bottom w:val="single" w:color="auto" w:sz="4" w:space="0"/>
              <w:right w:val="single" w:color="auto" w:sz="4" w:space="0"/>
            </w:tcBorders>
            <w:noWrap w:val="0"/>
            <w:vAlign w:val="center"/>
          </w:tcPr>
          <w:p w14:paraId="31BE98B3">
            <w:pPr>
              <w:widowControl/>
              <w:jc w:val="center"/>
              <w:rPr>
                <w:rFonts w:hint="eastAsia" w:eastAsia="等线"/>
                <w:kern w:val="0"/>
                <w:sz w:val="28"/>
                <w:szCs w:val="28"/>
              </w:rPr>
            </w:pPr>
            <w:r>
              <w:rPr>
                <w:rFonts w:hint="eastAsia" w:eastAsia="等线"/>
                <w:kern w:val="0"/>
                <w:sz w:val="28"/>
                <w:szCs w:val="28"/>
              </w:rPr>
              <w:t>9</w:t>
            </w:r>
          </w:p>
        </w:tc>
        <w:tc>
          <w:tcPr>
            <w:tcW w:w="4602" w:type="dxa"/>
            <w:tcBorders>
              <w:top w:val="nil"/>
              <w:left w:val="nil"/>
              <w:bottom w:val="single" w:color="auto" w:sz="4" w:space="0"/>
              <w:right w:val="single" w:color="auto" w:sz="4" w:space="0"/>
            </w:tcBorders>
            <w:noWrap w:val="0"/>
            <w:vAlign w:val="center"/>
          </w:tcPr>
          <w:p w14:paraId="78F31247">
            <w:pPr>
              <w:widowControl/>
              <w:ind w:left="-66" w:leftChars="-22" w:right="-42" w:rightChars="-14"/>
              <w:jc w:val="center"/>
              <w:textAlignment w:val="center"/>
              <w:rPr>
                <w:rFonts w:ascii="仿宋_GB2312" w:hAnsi="宋体" w:cs="宋体"/>
                <w:kern w:val="0"/>
                <w:sz w:val="28"/>
                <w:szCs w:val="28"/>
              </w:rPr>
            </w:pPr>
            <w:r>
              <w:rPr>
                <w:rFonts w:hint="eastAsia" w:ascii="仿宋_GB2312" w:hAnsi="宋体" w:cs="宋体"/>
                <w:kern w:val="0"/>
                <w:sz w:val="28"/>
                <w:szCs w:val="28"/>
              </w:rPr>
              <w:t>上海匹克球运动项目发展研究</w:t>
            </w:r>
          </w:p>
        </w:tc>
        <w:tc>
          <w:tcPr>
            <w:tcW w:w="8243" w:type="dxa"/>
            <w:tcBorders>
              <w:top w:val="nil"/>
              <w:left w:val="nil"/>
              <w:bottom w:val="single" w:color="auto" w:sz="4" w:space="0"/>
              <w:right w:val="single" w:color="auto" w:sz="4" w:space="0"/>
            </w:tcBorders>
            <w:noWrap w:val="0"/>
            <w:vAlign w:val="center"/>
          </w:tcPr>
          <w:p w14:paraId="52C7160F">
            <w:pPr>
              <w:widowControl/>
              <w:textAlignment w:val="center"/>
              <w:rPr>
                <w:rFonts w:ascii="仿宋_GB2312" w:hAnsi="宋体" w:cs="宋体"/>
                <w:kern w:val="0"/>
                <w:sz w:val="28"/>
                <w:szCs w:val="28"/>
              </w:rPr>
            </w:pPr>
            <w:r>
              <w:rPr>
                <w:rFonts w:hint="eastAsia" w:ascii="仿宋_GB2312" w:hAnsi="宋体" w:cs="宋体"/>
                <w:kern w:val="0"/>
                <w:sz w:val="28"/>
                <w:szCs w:val="28"/>
              </w:rPr>
              <w:t>梳理上海匹克球运动相关人群、场地、组织团体等发展现状，结合国际匹克球项目发展态势，研究分析上海推广匹克球运动项目的比较优势、产业潜力等内容，提出上海发展匹克球运动项目的对策建议。</w:t>
            </w:r>
          </w:p>
        </w:tc>
        <w:tc>
          <w:tcPr>
            <w:tcW w:w="1454" w:type="dxa"/>
            <w:tcBorders>
              <w:top w:val="nil"/>
              <w:left w:val="nil"/>
              <w:bottom w:val="single" w:color="auto" w:sz="4" w:space="0"/>
              <w:right w:val="single" w:color="auto" w:sz="4" w:space="0"/>
            </w:tcBorders>
            <w:noWrap w:val="0"/>
            <w:vAlign w:val="center"/>
          </w:tcPr>
          <w:p w14:paraId="5A4A6CD0">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r w14:paraId="24AFE598">
        <w:tblPrEx>
          <w:tblCellMar>
            <w:top w:w="0" w:type="dxa"/>
            <w:left w:w="108" w:type="dxa"/>
            <w:bottom w:w="0" w:type="dxa"/>
            <w:right w:w="108" w:type="dxa"/>
          </w:tblCellMar>
        </w:tblPrEx>
        <w:trPr>
          <w:trHeight w:val="2284" w:hRule="atLeast"/>
          <w:jc w:val="center"/>
        </w:trPr>
        <w:tc>
          <w:tcPr>
            <w:tcW w:w="819" w:type="dxa"/>
            <w:tcBorders>
              <w:top w:val="nil"/>
              <w:left w:val="single" w:color="auto" w:sz="4" w:space="0"/>
              <w:bottom w:val="single" w:color="auto" w:sz="4" w:space="0"/>
              <w:right w:val="single" w:color="auto" w:sz="4" w:space="0"/>
            </w:tcBorders>
            <w:noWrap w:val="0"/>
            <w:vAlign w:val="center"/>
          </w:tcPr>
          <w:p w14:paraId="151812C2">
            <w:pPr>
              <w:widowControl/>
              <w:jc w:val="center"/>
              <w:rPr>
                <w:rFonts w:eastAsia="等线"/>
                <w:kern w:val="0"/>
                <w:sz w:val="28"/>
                <w:szCs w:val="28"/>
              </w:rPr>
            </w:pPr>
            <w:r>
              <w:rPr>
                <w:rFonts w:hint="eastAsia" w:eastAsia="等线"/>
                <w:kern w:val="0"/>
                <w:sz w:val="28"/>
                <w:szCs w:val="28"/>
              </w:rPr>
              <w:t>10</w:t>
            </w:r>
          </w:p>
        </w:tc>
        <w:tc>
          <w:tcPr>
            <w:tcW w:w="4602" w:type="dxa"/>
            <w:tcBorders>
              <w:top w:val="nil"/>
              <w:left w:val="nil"/>
              <w:bottom w:val="single" w:color="auto" w:sz="4" w:space="0"/>
              <w:right w:val="single" w:color="auto" w:sz="4" w:space="0"/>
            </w:tcBorders>
            <w:noWrap w:val="0"/>
            <w:vAlign w:val="center"/>
          </w:tcPr>
          <w:p w14:paraId="5C6FCBA0">
            <w:pPr>
              <w:widowControl/>
              <w:jc w:val="center"/>
              <w:textAlignment w:val="center"/>
              <w:rPr>
                <w:rFonts w:hint="eastAsia" w:ascii="仿宋_GB2312" w:hAnsi="宋体" w:cs="宋体"/>
                <w:kern w:val="0"/>
                <w:sz w:val="28"/>
                <w:szCs w:val="28"/>
              </w:rPr>
            </w:pPr>
            <w:r>
              <w:rPr>
                <w:rFonts w:hint="eastAsia" w:ascii="仿宋_GB2312" w:hAnsi="宋体" w:cs="宋体"/>
                <w:kern w:val="0"/>
                <w:sz w:val="28"/>
                <w:szCs w:val="28"/>
              </w:rPr>
              <w:t>体育融入社区治理的国际经验与</w:t>
            </w:r>
          </w:p>
          <w:p w14:paraId="78423DAA">
            <w:pPr>
              <w:widowControl/>
              <w:jc w:val="center"/>
              <w:textAlignment w:val="center"/>
              <w:rPr>
                <w:rFonts w:ascii="仿宋_GB2312" w:hAnsi="宋体" w:cs="宋体"/>
                <w:kern w:val="0"/>
                <w:sz w:val="28"/>
                <w:szCs w:val="28"/>
              </w:rPr>
            </w:pPr>
            <w:r>
              <w:rPr>
                <w:rFonts w:hint="eastAsia" w:ascii="仿宋_GB2312" w:hAnsi="宋体" w:cs="宋体"/>
                <w:kern w:val="0"/>
                <w:sz w:val="28"/>
                <w:szCs w:val="28"/>
              </w:rPr>
              <w:t>本土路径研究</w:t>
            </w:r>
          </w:p>
        </w:tc>
        <w:tc>
          <w:tcPr>
            <w:tcW w:w="8243" w:type="dxa"/>
            <w:tcBorders>
              <w:top w:val="nil"/>
              <w:left w:val="nil"/>
              <w:bottom w:val="single" w:color="auto" w:sz="4" w:space="0"/>
              <w:right w:val="single" w:color="auto" w:sz="4" w:space="0"/>
            </w:tcBorders>
            <w:noWrap w:val="0"/>
            <w:vAlign w:val="center"/>
          </w:tcPr>
          <w:p w14:paraId="765D8D70">
            <w:pPr>
              <w:widowControl/>
              <w:textAlignment w:val="center"/>
              <w:rPr>
                <w:kern w:val="0"/>
                <w:sz w:val="28"/>
                <w:szCs w:val="28"/>
              </w:rPr>
            </w:pPr>
            <w:r>
              <w:rPr>
                <w:rFonts w:hint="eastAsia" w:ascii="仿宋_GB2312" w:hAnsi="宋体" w:cs="宋体"/>
                <w:spacing w:val="4"/>
                <w:kern w:val="0"/>
                <w:sz w:val="28"/>
                <w:szCs w:val="28"/>
              </w:rPr>
              <w:t>研究分析体育在社区治理中发挥作用的典型案例（上海市不少</w:t>
            </w:r>
            <w:r>
              <w:rPr>
                <w:spacing w:val="4"/>
                <w:kern w:val="0"/>
                <w:sz w:val="28"/>
                <w:szCs w:val="28"/>
              </w:rPr>
              <w:t>于</w:t>
            </w:r>
            <w:r>
              <w:rPr>
                <w:kern w:val="0"/>
                <w:sz w:val="28"/>
                <w:szCs w:val="28"/>
              </w:rPr>
              <w:t>3</w:t>
            </w:r>
            <w:r>
              <w:rPr>
                <w:rFonts w:hint="eastAsia" w:ascii="仿宋_GB2312" w:hAnsi="宋体" w:cs="宋体"/>
                <w:kern w:val="0"/>
                <w:sz w:val="28"/>
                <w:szCs w:val="28"/>
              </w:rPr>
              <w:t>项，全国不少于</w:t>
            </w:r>
            <w:r>
              <w:rPr>
                <w:kern w:val="0"/>
                <w:sz w:val="28"/>
                <w:szCs w:val="28"/>
              </w:rPr>
              <w:t>3项），对标国际有益经验（英国、德国、新加坡、日本等不少于5个</w:t>
            </w:r>
            <w:r>
              <w:rPr>
                <w:rFonts w:hint="eastAsia" w:ascii="仿宋_GB2312" w:hAnsi="宋体" w:cs="宋体"/>
                <w:kern w:val="0"/>
                <w:sz w:val="28"/>
                <w:szCs w:val="28"/>
              </w:rPr>
              <w:t>国家），分析体育在社区治理能够发挥的重要价值，总结形成与上海建设社会主义现代化国际大都市建设相匹配的体育融入社区治理的协同机制、资源整合路径及政策建议，助力提升全民健身公共服务体系软实力。</w:t>
            </w:r>
          </w:p>
        </w:tc>
        <w:tc>
          <w:tcPr>
            <w:tcW w:w="1454" w:type="dxa"/>
            <w:tcBorders>
              <w:top w:val="nil"/>
              <w:left w:val="nil"/>
              <w:bottom w:val="single" w:color="auto" w:sz="4" w:space="0"/>
              <w:right w:val="single" w:color="auto" w:sz="4" w:space="0"/>
            </w:tcBorders>
            <w:noWrap w:val="0"/>
            <w:vAlign w:val="center"/>
          </w:tcPr>
          <w:p w14:paraId="7ED19A1A">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r w14:paraId="4C703173">
        <w:tblPrEx>
          <w:tblCellMar>
            <w:top w:w="0" w:type="dxa"/>
            <w:left w:w="108" w:type="dxa"/>
            <w:bottom w:w="0" w:type="dxa"/>
            <w:right w:w="108" w:type="dxa"/>
          </w:tblCellMar>
        </w:tblPrEx>
        <w:trPr>
          <w:trHeight w:val="1921" w:hRule="atLeast"/>
          <w:jc w:val="center"/>
        </w:trPr>
        <w:tc>
          <w:tcPr>
            <w:tcW w:w="819" w:type="dxa"/>
            <w:tcBorders>
              <w:top w:val="nil"/>
              <w:left w:val="single" w:color="auto" w:sz="4" w:space="0"/>
              <w:bottom w:val="single" w:color="auto" w:sz="4" w:space="0"/>
              <w:right w:val="single" w:color="auto" w:sz="4" w:space="0"/>
            </w:tcBorders>
            <w:noWrap w:val="0"/>
            <w:vAlign w:val="center"/>
          </w:tcPr>
          <w:p w14:paraId="0B175F99">
            <w:pPr>
              <w:widowControl/>
              <w:jc w:val="center"/>
              <w:rPr>
                <w:rFonts w:hint="eastAsia" w:eastAsia="等线"/>
                <w:kern w:val="0"/>
                <w:sz w:val="28"/>
                <w:szCs w:val="28"/>
              </w:rPr>
            </w:pPr>
            <w:r>
              <w:rPr>
                <w:rFonts w:hint="eastAsia" w:eastAsia="等线"/>
                <w:kern w:val="0"/>
                <w:sz w:val="28"/>
                <w:szCs w:val="28"/>
              </w:rPr>
              <w:t>11</w:t>
            </w:r>
          </w:p>
        </w:tc>
        <w:tc>
          <w:tcPr>
            <w:tcW w:w="4602" w:type="dxa"/>
            <w:tcBorders>
              <w:top w:val="nil"/>
              <w:left w:val="nil"/>
              <w:bottom w:val="single" w:color="auto" w:sz="4" w:space="0"/>
              <w:right w:val="single" w:color="auto" w:sz="4" w:space="0"/>
            </w:tcBorders>
            <w:noWrap w:val="0"/>
            <w:vAlign w:val="center"/>
          </w:tcPr>
          <w:p w14:paraId="3E6A9ED5">
            <w:pPr>
              <w:widowControl/>
              <w:jc w:val="center"/>
              <w:textAlignment w:val="center"/>
              <w:rPr>
                <w:rFonts w:ascii="仿宋_GB2312" w:hAnsi="等线" w:cs="仿宋_GB2312"/>
                <w:kern w:val="0"/>
                <w:sz w:val="28"/>
                <w:szCs w:val="28"/>
                <w:lang w:bidi="ar"/>
              </w:rPr>
            </w:pPr>
            <w:r>
              <w:rPr>
                <w:rFonts w:hint="eastAsia" w:ascii="仿宋_GB2312" w:hAnsi="等线" w:cs="仿宋_GB2312"/>
                <w:kern w:val="0"/>
                <w:sz w:val="28"/>
                <w:szCs w:val="28"/>
                <w:lang w:bidi="ar"/>
              </w:rPr>
              <w:t>消费终端品牌对于上海赛事发展的建议研究</w:t>
            </w:r>
          </w:p>
        </w:tc>
        <w:tc>
          <w:tcPr>
            <w:tcW w:w="8243" w:type="dxa"/>
            <w:tcBorders>
              <w:top w:val="nil"/>
              <w:left w:val="nil"/>
              <w:bottom w:val="single" w:color="auto" w:sz="4" w:space="0"/>
              <w:right w:val="single" w:color="auto" w:sz="4" w:space="0"/>
            </w:tcBorders>
            <w:noWrap w:val="0"/>
            <w:vAlign w:val="center"/>
          </w:tcPr>
          <w:p w14:paraId="384B7E58">
            <w:pPr>
              <w:widowControl/>
              <w:textAlignment w:val="center"/>
              <w:rPr>
                <w:rFonts w:ascii="仿宋_GB2312" w:hAnsi="等线" w:cs="仿宋_GB2312"/>
                <w:kern w:val="0"/>
                <w:sz w:val="28"/>
                <w:szCs w:val="28"/>
                <w:lang w:bidi="ar"/>
              </w:rPr>
            </w:pPr>
            <w:r>
              <w:rPr>
                <w:rFonts w:hint="eastAsia" w:ascii="仿宋_GB2312" w:hAnsi="等线" w:cs="仿宋_GB2312"/>
                <w:kern w:val="0"/>
                <w:sz w:val="28"/>
                <w:szCs w:val="28"/>
                <w:lang w:bidi="ar"/>
              </w:rPr>
              <w:t>研究分析国际国内消费品牌与体育赛事合作经典营销案例（不少于</w:t>
            </w:r>
            <w:r>
              <w:rPr>
                <w:kern w:val="0"/>
                <w:sz w:val="28"/>
                <w:szCs w:val="28"/>
                <w:lang w:bidi="ar"/>
              </w:rPr>
              <w:t>3项），深度访谈国际国内终端消费品牌（不少于10</w:t>
            </w:r>
            <w:r>
              <w:rPr>
                <w:rFonts w:hint="eastAsia" w:ascii="仿宋_GB2312" w:hAnsi="等线" w:cs="仿宋_GB2312"/>
                <w:kern w:val="0"/>
                <w:sz w:val="28"/>
                <w:szCs w:val="28"/>
                <w:lang w:bidi="ar"/>
              </w:rPr>
              <w:t>个），总结梳理消费品牌对于上海赛事适配品牌需求构建创新消费场景的建议，研究提出上海赛事活动与市场化方式打造促进消费新载体的路径与策略。</w:t>
            </w:r>
          </w:p>
        </w:tc>
        <w:tc>
          <w:tcPr>
            <w:tcW w:w="1454" w:type="dxa"/>
            <w:tcBorders>
              <w:top w:val="nil"/>
              <w:left w:val="nil"/>
              <w:bottom w:val="single" w:color="auto" w:sz="4" w:space="0"/>
              <w:right w:val="single" w:color="auto" w:sz="4" w:space="0"/>
            </w:tcBorders>
            <w:noWrap w:val="0"/>
            <w:vAlign w:val="center"/>
          </w:tcPr>
          <w:p w14:paraId="1B1C7BF5">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r w14:paraId="59A90C15">
        <w:tblPrEx>
          <w:tblCellMar>
            <w:top w:w="0" w:type="dxa"/>
            <w:left w:w="108" w:type="dxa"/>
            <w:bottom w:w="0" w:type="dxa"/>
            <w:right w:w="108" w:type="dxa"/>
          </w:tblCellMar>
        </w:tblPrEx>
        <w:trPr>
          <w:trHeight w:val="2326" w:hRule="atLeast"/>
          <w:jc w:val="center"/>
        </w:trPr>
        <w:tc>
          <w:tcPr>
            <w:tcW w:w="819" w:type="dxa"/>
            <w:tcBorders>
              <w:top w:val="nil"/>
              <w:left w:val="single" w:color="auto" w:sz="4" w:space="0"/>
              <w:bottom w:val="single" w:color="auto" w:sz="4" w:space="0"/>
              <w:right w:val="single" w:color="auto" w:sz="4" w:space="0"/>
            </w:tcBorders>
            <w:noWrap w:val="0"/>
            <w:vAlign w:val="center"/>
          </w:tcPr>
          <w:p w14:paraId="1E084164">
            <w:pPr>
              <w:widowControl/>
              <w:jc w:val="center"/>
              <w:rPr>
                <w:rFonts w:hint="eastAsia" w:eastAsia="等线"/>
                <w:kern w:val="0"/>
                <w:sz w:val="28"/>
                <w:szCs w:val="28"/>
              </w:rPr>
            </w:pPr>
            <w:r>
              <w:rPr>
                <w:rFonts w:eastAsia="等线"/>
                <w:kern w:val="0"/>
                <w:sz w:val="28"/>
                <w:szCs w:val="28"/>
              </w:rPr>
              <w:t>1</w:t>
            </w:r>
            <w:r>
              <w:rPr>
                <w:rFonts w:hint="eastAsia" w:eastAsia="等线"/>
                <w:kern w:val="0"/>
                <w:sz w:val="28"/>
                <w:szCs w:val="28"/>
              </w:rPr>
              <w:t>2</w:t>
            </w:r>
          </w:p>
        </w:tc>
        <w:tc>
          <w:tcPr>
            <w:tcW w:w="4602" w:type="dxa"/>
            <w:tcBorders>
              <w:top w:val="nil"/>
              <w:left w:val="nil"/>
              <w:bottom w:val="single" w:color="auto" w:sz="4" w:space="0"/>
              <w:right w:val="single" w:color="auto" w:sz="4" w:space="0"/>
            </w:tcBorders>
            <w:noWrap w:val="0"/>
            <w:vAlign w:val="center"/>
          </w:tcPr>
          <w:p w14:paraId="6020BE67">
            <w:pPr>
              <w:widowControl/>
              <w:jc w:val="center"/>
              <w:textAlignment w:val="center"/>
              <w:rPr>
                <w:rFonts w:ascii="仿宋_GB2312" w:hAnsi="宋体" w:cs="宋体"/>
                <w:kern w:val="0"/>
                <w:sz w:val="28"/>
                <w:szCs w:val="28"/>
              </w:rPr>
            </w:pPr>
            <w:r>
              <w:rPr>
                <w:rFonts w:hint="eastAsia" w:ascii="仿宋_GB2312" w:hAnsi="宋体" w:cs="宋体"/>
                <w:kern w:val="0"/>
                <w:sz w:val="28"/>
                <w:szCs w:val="28"/>
              </w:rPr>
              <w:t>上海虚拟体育赛事体系与产业应用场景构建的研究</w:t>
            </w:r>
          </w:p>
        </w:tc>
        <w:tc>
          <w:tcPr>
            <w:tcW w:w="8243" w:type="dxa"/>
            <w:tcBorders>
              <w:top w:val="nil"/>
              <w:left w:val="nil"/>
              <w:bottom w:val="single" w:color="auto" w:sz="4" w:space="0"/>
              <w:right w:val="single" w:color="auto" w:sz="4" w:space="0"/>
            </w:tcBorders>
            <w:noWrap w:val="0"/>
            <w:vAlign w:val="center"/>
          </w:tcPr>
          <w:p w14:paraId="76649FE8">
            <w:pPr>
              <w:widowControl/>
              <w:textAlignment w:val="center"/>
              <w:rPr>
                <w:rFonts w:ascii="仿宋_GB2312" w:hAnsi="宋体" w:cs="宋体"/>
                <w:kern w:val="0"/>
                <w:sz w:val="28"/>
                <w:szCs w:val="28"/>
              </w:rPr>
            </w:pPr>
            <w:r>
              <w:rPr>
                <w:rFonts w:hint="eastAsia" w:ascii="仿宋_GB2312"/>
                <w:sz w:val="28"/>
                <w:szCs w:val="28"/>
              </w:rPr>
              <w:t>梳理上海虚拟体育赛事的发展现状，参照现有国际虚拟体育赛事规则及典型案例（不少于</w:t>
            </w:r>
            <w:r>
              <w:rPr>
                <w:sz w:val="28"/>
                <w:szCs w:val="28"/>
              </w:rPr>
              <w:t>3</w:t>
            </w:r>
            <w:r>
              <w:rPr>
                <w:rFonts w:hint="eastAsia" w:ascii="仿宋_GB2312"/>
                <w:sz w:val="28"/>
                <w:szCs w:val="28"/>
              </w:rPr>
              <w:t>项），结合上海实际，分析虚拟体育项目分类、赛事体系、运动员管理等瓶颈问题。研究将虚拟体育赛事培育成为上海优势产业应用场景的模式，分析提出打造“技术创新—场景验证—产业应用—体系升级”的虚拟体育与新质生产力支撑发展的路径及政策建议。</w:t>
            </w:r>
          </w:p>
        </w:tc>
        <w:tc>
          <w:tcPr>
            <w:tcW w:w="1454" w:type="dxa"/>
            <w:tcBorders>
              <w:top w:val="nil"/>
              <w:left w:val="nil"/>
              <w:bottom w:val="single" w:color="auto" w:sz="4" w:space="0"/>
              <w:right w:val="single" w:color="auto" w:sz="4" w:space="0"/>
            </w:tcBorders>
            <w:noWrap w:val="0"/>
            <w:vAlign w:val="center"/>
          </w:tcPr>
          <w:p w14:paraId="3DBFA3C4">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r w14:paraId="674707A8">
        <w:tblPrEx>
          <w:tblCellMar>
            <w:top w:w="0" w:type="dxa"/>
            <w:left w:w="108" w:type="dxa"/>
            <w:bottom w:w="0" w:type="dxa"/>
            <w:right w:w="108" w:type="dxa"/>
          </w:tblCellMar>
        </w:tblPrEx>
        <w:trPr>
          <w:trHeight w:val="1668" w:hRule="atLeast"/>
          <w:jc w:val="center"/>
        </w:trPr>
        <w:tc>
          <w:tcPr>
            <w:tcW w:w="819" w:type="dxa"/>
            <w:tcBorders>
              <w:top w:val="single" w:color="auto" w:sz="4" w:space="0"/>
              <w:left w:val="single" w:color="auto" w:sz="4" w:space="0"/>
              <w:bottom w:val="single" w:color="auto" w:sz="4" w:space="0"/>
              <w:right w:val="single" w:color="auto" w:sz="4" w:space="0"/>
            </w:tcBorders>
            <w:noWrap w:val="0"/>
            <w:vAlign w:val="center"/>
          </w:tcPr>
          <w:p w14:paraId="5DE443C7">
            <w:pPr>
              <w:widowControl/>
              <w:jc w:val="center"/>
              <w:rPr>
                <w:rFonts w:hint="eastAsia" w:eastAsia="等线"/>
                <w:kern w:val="0"/>
                <w:sz w:val="28"/>
                <w:szCs w:val="28"/>
              </w:rPr>
            </w:pPr>
            <w:r>
              <w:rPr>
                <w:rFonts w:eastAsia="等线"/>
                <w:kern w:val="0"/>
                <w:sz w:val="28"/>
                <w:szCs w:val="28"/>
              </w:rPr>
              <w:t>1</w:t>
            </w:r>
            <w:r>
              <w:rPr>
                <w:rFonts w:hint="eastAsia" w:eastAsia="等线"/>
                <w:kern w:val="0"/>
                <w:sz w:val="28"/>
                <w:szCs w:val="28"/>
              </w:rPr>
              <w:t>3</w:t>
            </w:r>
          </w:p>
        </w:tc>
        <w:tc>
          <w:tcPr>
            <w:tcW w:w="4602" w:type="dxa"/>
            <w:tcBorders>
              <w:top w:val="single" w:color="auto" w:sz="4" w:space="0"/>
              <w:left w:val="single" w:color="auto" w:sz="4" w:space="0"/>
              <w:bottom w:val="single" w:color="auto" w:sz="4" w:space="0"/>
              <w:right w:val="single" w:color="auto" w:sz="4" w:space="0"/>
            </w:tcBorders>
            <w:noWrap w:val="0"/>
            <w:vAlign w:val="center"/>
          </w:tcPr>
          <w:p w14:paraId="672AD9A3">
            <w:pPr>
              <w:widowControl/>
              <w:jc w:val="center"/>
              <w:textAlignment w:val="center"/>
              <w:rPr>
                <w:rFonts w:hint="eastAsia" w:ascii="仿宋_GB2312" w:hAnsi="宋体" w:cs="宋体"/>
                <w:kern w:val="0"/>
                <w:sz w:val="28"/>
                <w:szCs w:val="28"/>
              </w:rPr>
            </w:pPr>
            <w:r>
              <w:rPr>
                <w:rFonts w:hint="eastAsia" w:ascii="仿宋_GB2312" w:hAnsi="宋体" w:cs="宋体"/>
                <w:kern w:val="0"/>
                <w:sz w:val="28"/>
                <w:szCs w:val="28"/>
              </w:rPr>
              <w:t>上海市青少年体育后备人才培养</w:t>
            </w:r>
          </w:p>
          <w:p w14:paraId="7C4AE0D2">
            <w:pPr>
              <w:widowControl/>
              <w:jc w:val="center"/>
              <w:textAlignment w:val="center"/>
              <w:rPr>
                <w:rFonts w:hint="eastAsia" w:ascii="仿宋_GB2312" w:hAnsi="宋体" w:cs="宋体"/>
                <w:kern w:val="0"/>
                <w:sz w:val="28"/>
                <w:szCs w:val="28"/>
              </w:rPr>
            </w:pPr>
            <w:r>
              <w:rPr>
                <w:rFonts w:hint="eastAsia" w:ascii="仿宋_GB2312" w:hAnsi="宋体" w:cs="宋体"/>
                <w:kern w:val="0"/>
                <w:sz w:val="28"/>
                <w:szCs w:val="28"/>
              </w:rPr>
              <w:t>体系的评估与优化路径研究</w:t>
            </w:r>
          </w:p>
        </w:tc>
        <w:tc>
          <w:tcPr>
            <w:tcW w:w="8243" w:type="dxa"/>
            <w:tcBorders>
              <w:top w:val="single" w:color="auto" w:sz="4" w:space="0"/>
              <w:left w:val="single" w:color="auto" w:sz="4" w:space="0"/>
              <w:bottom w:val="single" w:color="auto" w:sz="4" w:space="0"/>
              <w:right w:val="single" w:color="auto" w:sz="4" w:space="0"/>
            </w:tcBorders>
            <w:noWrap w:val="0"/>
            <w:vAlign w:val="center"/>
          </w:tcPr>
          <w:p w14:paraId="32CD7CAB">
            <w:pPr>
              <w:widowControl/>
              <w:textAlignment w:val="center"/>
              <w:rPr>
                <w:rFonts w:hint="eastAsia" w:ascii="仿宋_GB2312" w:hAnsi="宋体" w:cs="宋体"/>
                <w:kern w:val="0"/>
                <w:sz w:val="28"/>
                <w:szCs w:val="28"/>
              </w:rPr>
            </w:pPr>
            <w:r>
              <w:rPr>
                <w:rFonts w:hint="eastAsia" w:ascii="仿宋_GB2312" w:hAnsi="宋体" w:cs="宋体"/>
                <w:kern w:val="0"/>
                <w:sz w:val="28"/>
                <w:szCs w:val="28"/>
              </w:rPr>
              <w:t>系统研究与评估上海市青少年体育后备人才培养体系的发展情况，聚焦分析体教融合背景下多主体协同共治面临的学训衔接、权益分配、激励机制等问题，借鉴国内外优秀实践案例和治理经验，提出对于青少年后备人才体系</w:t>
            </w:r>
            <w:r>
              <w:rPr>
                <w:rFonts w:hint="eastAsia" w:cs="仿宋_GB2312"/>
                <w:sz w:val="28"/>
                <w:szCs w:val="28"/>
              </w:rPr>
              <w:t>全周期协同治理的优化路径与政策建议。</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14F61725">
            <w:pPr>
              <w:widowControl/>
              <w:jc w:val="center"/>
              <w:textAlignment w:val="center"/>
              <w:rPr>
                <w:rFonts w:hint="eastAsia" w:ascii="仿宋_GB2312" w:hAnsi="等线" w:cs="仿宋_GB2312"/>
                <w:kern w:val="0"/>
                <w:sz w:val="28"/>
                <w:szCs w:val="28"/>
                <w:lang w:bidi="ar"/>
              </w:rPr>
            </w:pPr>
            <w:r>
              <w:rPr>
                <w:rFonts w:hint="eastAsia" w:ascii="仿宋_GB2312" w:hAnsi="等线" w:cs="仿宋_GB2312"/>
                <w:kern w:val="0"/>
                <w:sz w:val="28"/>
                <w:szCs w:val="28"/>
                <w:lang w:bidi="ar"/>
              </w:rPr>
              <w:t>一般课题</w:t>
            </w:r>
          </w:p>
        </w:tc>
      </w:tr>
    </w:tbl>
    <w:p w14:paraId="32BCD92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KSOF439EEF50">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D00E0"/>
    <w:rsid w:val="174D0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bottom w:val="single" w:color="auto" w:sz="6" w:space="1"/>
      </w:pBdr>
      <w:tabs>
        <w:tab w:val="center" w:pos="4153"/>
        <w:tab w:val="right" w:pos="8306"/>
      </w:tabs>
      <w:snapToGrid w:val="0"/>
      <w:jc w:val="center"/>
    </w:pPr>
    <w:rPr>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2026-04-27T02:32:00Z</dcterms:created>
  <dc:creator>佩佩</dc:creator>
  <cp:lastModifiedBy>佩佩</cp:lastModifiedBy>
  <dcterms:modified xsi:type="dcterms:W3CDTF">2026-04-27T02:33:18Z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97D9F881E7424F7495F6ED5DC76F3315_11</vt:lpwstr>
  </property>
  <property fmtid="{D5CDD505-2E9C-101B-9397-08002B2CF9AE}" pid="4" name="KSOTemplateDocerSaveRecord">
    <vt:lpwstr>eyJoZGlkIjoiMDgxNzgxNjNiZTVjNWMyN2NhZDdiNjZkZjkwMjczNmQiLCJ1c2VySWQiOiIyOTAxODUyMDUifQ==</vt:lpwstr>
  </property>
</Properties>
</file>