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1E3F" w14:textId="77777777" w:rsidR="00F93A4F" w:rsidRDefault="00F93A4F" w:rsidP="00F93A4F">
      <w:pPr>
        <w:spacing w:line="360" w:lineRule="auto"/>
        <w:ind w:firstLineChars="200" w:firstLine="562"/>
        <w:rPr>
          <w:rFonts w:ascii="仿宋" w:eastAsia="仿宋" w:hAnsi="仿宋" w:cs="仿宋" w:hint="eastAsia"/>
          <w:b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kern w:val="2"/>
          <w:sz w:val="28"/>
          <w:szCs w:val="28"/>
        </w:rPr>
        <w:t>附件1</w:t>
      </w:r>
    </w:p>
    <w:p w14:paraId="4A99269C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2"/>
        <w:contextualSpacing/>
        <w:jc w:val="center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第二届“泛雅杯”全国高校智慧课程设计大赛实施方案</w:t>
      </w:r>
    </w:p>
    <w:p w14:paraId="706B12B3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2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56B949AC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2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一、大赛简介</w:t>
      </w:r>
    </w:p>
    <w:p w14:paraId="1D4C3403" w14:textId="77777777" w:rsidR="00F93A4F" w:rsidRDefault="00F93A4F" w:rsidP="00F93A4F">
      <w:pPr>
        <w:pStyle w:val="Style13"/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为深入学习贯彻全国教育大会精神，全面落实《教育强国建设规划纲要（2024—2035年）》部署，贯彻落实科教兴国战略、创新驱动发展战略、教育数字化转型战略，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以数智赋能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教育教学改革创新，推进新质生产力发展；引导高校育人理念由“学知识”向“强能力”转变，教学模式由“师生交互”向“师/生/机”深度交互转变，学生学习由“被动学习”向“自主学习”转变，评价由“结果评价”向“多元评价”转变，塑造“人工智能+”高等教育新生态，进而实现教育数字化转型，服务教育强国建设，经研究决定，特举办第二届“泛雅杯”全国高校智慧课程设计大赛。</w:t>
      </w:r>
    </w:p>
    <w:p w14:paraId="0F74197B" w14:textId="77777777" w:rsidR="00F93A4F" w:rsidRDefault="00F93A4F" w:rsidP="00F93A4F">
      <w:pPr>
        <w:pStyle w:val="Style13"/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智慧课程，即秉承“以人为本”“以学生为中心”的理念，系统融合生成式人工智能、大数据等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数智前沿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技术，基于在线学习平台、AI工具、智慧教室及必要的教学资源与支持，开展深度混合式学习设计，基于数据（评价）持续进行优化迭代的创新型课程。课程注重人文与科技的融合，尤其关注人工智能背景下师生情感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交互与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变化。</w:t>
      </w:r>
    </w:p>
    <w:p w14:paraId="7402349C" w14:textId="77777777" w:rsidR="00F93A4F" w:rsidRDefault="00F93A4F" w:rsidP="00F93A4F">
      <w:pPr>
        <w:pStyle w:val="Style13"/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大赛以“数智赋能教育改革创新，推动教育数字化转型升级，培养面向未来新质人才”为宗旨，旨在通过比赛，全面提升教师数字素养，形成智慧教学设计与实施的理念及能力，引导教师将AI深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度融入课程创新，推动数字化转型，为教育强国建设夯实教学基础。</w:t>
      </w:r>
    </w:p>
    <w:p w14:paraId="13A935F7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2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二、参赛对象</w:t>
      </w:r>
    </w:p>
    <w:p w14:paraId="5D8810C8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国内高校承担课程教学的专任教师，近两年主讲参赛课程，并具有基于智慧课程理念进行数字化教学设计与实施的实践经验。</w:t>
      </w:r>
    </w:p>
    <w:p w14:paraId="47F8B082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已获得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第一届泛雅杯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特等奖的主讲教师不能参赛。</w:t>
      </w:r>
    </w:p>
    <w:p w14:paraId="2A983BA0" w14:textId="77777777" w:rsidR="00F93A4F" w:rsidRDefault="00F93A4F" w:rsidP="00F93A4F">
      <w:pPr>
        <w:numPr>
          <w:ilvl w:val="0"/>
          <w:numId w:val="1"/>
        </w:numPr>
        <w:spacing w:before="100" w:beforeAutospacing="1" w:after="100" w:afterAutospacing="1" w:line="360" w:lineRule="auto"/>
        <w:ind w:firstLineChars="200" w:firstLine="562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赛道设置</w:t>
      </w:r>
    </w:p>
    <w:p w14:paraId="2D343F25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按照办学定位分别设置本科高校赛道和职业院校赛道（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含职业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本科、高等职业院校）。</w:t>
      </w:r>
    </w:p>
    <w:p w14:paraId="486735FF" w14:textId="77777777" w:rsidR="00F93A4F" w:rsidRDefault="00F93A4F" w:rsidP="00F93A4F">
      <w:pPr>
        <w:numPr>
          <w:ilvl w:val="0"/>
          <w:numId w:val="1"/>
        </w:numPr>
        <w:spacing w:before="100" w:beforeAutospacing="1" w:after="100" w:afterAutospacing="1" w:line="360" w:lineRule="auto"/>
        <w:ind w:firstLineChars="200" w:firstLine="562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参赛形式</w:t>
      </w:r>
    </w:p>
    <w:p w14:paraId="3A8F6362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教师个人或教学团队参赛，若以团队形式参赛，团队成员包括1名主讲教师和不超过4名团队教师。</w:t>
      </w:r>
    </w:p>
    <w:p w14:paraId="29E48816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每位教师/团队限提交1个参赛项目。</w:t>
      </w:r>
    </w:p>
    <w:p w14:paraId="3F457388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同一位教师不得加入多个团队。</w:t>
      </w:r>
    </w:p>
    <w:p w14:paraId="666E0371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2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五、大赛内容及要求</w:t>
      </w:r>
    </w:p>
    <w:p w14:paraId="2586FA7E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参赛课程需坚持“以人为本”“以学生为中心”的理念，不断创新探索新的技术工具、教学方法等，如构建知识图谱、借助人工智能生成资源、训练AI智能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体用于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教学、基于学习数据开展精准评价及反馈等措施，优化教学设计；最终构建“教师、学生、AI、智慧教学环境”四维的“师-生-机-环”共同体，开展深度混合式教学设计，实现个性化学习。</w:t>
      </w:r>
    </w:p>
    <w:p w14:paraId="46447197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jc w:val="both"/>
        <w:rPr>
          <w:rFonts w:ascii="仿宋" w:eastAsia="仿宋" w:hAnsi="仿宋" w:cs="仿宋" w:hint="eastAsia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参赛教师需提交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参赛申请表、1个AI应用场景案例视频及对应AI应用场景案例的一次课教学设计样例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4AC68213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jc w:val="both"/>
        <w:rPr>
          <w:rFonts w:ascii="仿宋" w:eastAsia="仿宋" w:hAnsi="仿宋" w:cs="仿宋" w:hint="eastAsia"/>
          <w:sz w:val="28"/>
          <w:szCs w:val="28"/>
        </w:rPr>
      </w:pPr>
      <w:bookmarkStart w:id="0" w:name="_Hlk181949662"/>
      <w:r>
        <w:rPr>
          <w:rFonts w:ascii="仿宋" w:eastAsia="仿宋" w:hAnsi="仿宋" w:cs="仿宋" w:hint="eastAsia"/>
          <w:sz w:val="28"/>
          <w:szCs w:val="28"/>
        </w:rPr>
        <w:lastRenderedPageBreak/>
        <w:t>参赛申请表应针对</w:t>
      </w:r>
      <w:bookmarkEnd w:id="0"/>
      <w:r>
        <w:rPr>
          <w:rFonts w:ascii="仿宋" w:eastAsia="仿宋" w:hAnsi="仿宋" w:cs="仿宋" w:hint="eastAsia"/>
          <w:sz w:val="28"/>
          <w:szCs w:val="28"/>
        </w:rPr>
        <w:t>参赛课程的设计理念、需求分析、痛点问题、教学内容选择与组织、教学过程与方法、教学评价与目标达成等内容进行描述。</w:t>
      </w:r>
    </w:p>
    <w:p w14:paraId="3C78F309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AI应用场景案例视频应针对具体的AI赋能教学创新典型场景进行真实的教学展示。每个案例视频时长应为3-8分钟，大小不超过1200M，分辨率720P及以上，格式为MP4。图像清晰稳定，声音清楚。</w:t>
      </w:r>
    </w:p>
    <w:p w14:paraId="07107BD6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对应该应用案例的一次课（1-4学时）的教学设计样例可图文结合，建议包含教学目标、教学内容、教学环境与手段、教学策略与方法、教学评价等，充分说明AI赋能教学环节的设计意图。</w:t>
      </w:r>
    </w:p>
    <w:p w14:paraId="1E6B72DF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2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六、大赛赛制及流程</w:t>
      </w:r>
    </w:p>
    <w:p w14:paraId="1B229C59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本次大赛不收取报名费、参赛费（提交初赛材料即视为报名参赛）。大赛分为初赛、决赛两个阶段。</w:t>
      </w:r>
    </w:p>
    <w:p w14:paraId="19D4B2D0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2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报名及材料提交：</w:t>
      </w:r>
    </w:p>
    <w:p w14:paraId="0FDC9D0C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color w:val="auto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参赛教师需通过大赛官网（ http://2025cxzhkc.mh.chaoxing.com ）提交报名信息及参赛材料，报名时间为2025年11月24日9:00-</w:t>
      </w:r>
      <w:r>
        <w:rPr>
          <w:rFonts w:ascii="仿宋" w:eastAsia="仿宋" w:hAnsi="仿宋" w:cs="仿宋" w:hint="eastAsia"/>
          <w:color w:val="auto"/>
          <w:sz w:val="28"/>
          <w:szCs w:val="28"/>
        </w:rPr>
        <w:t>2026年4月20日24:00。</w:t>
      </w:r>
    </w:p>
    <w:p w14:paraId="1D8193C7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初赛（网络评审）：</w:t>
      </w:r>
    </w:p>
    <w:p w14:paraId="0F0EF889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由专家评审团协同AI对提交的参赛材料进行线上评审，评选出入围决赛的作品，于2026年5月底公布决赛名单。</w:t>
      </w:r>
    </w:p>
    <w:p w14:paraId="4C615EEF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决赛（现场比赛）：</w:t>
      </w:r>
    </w:p>
    <w:p w14:paraId="4E83D562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入围教师将受邀参加现场比赛，进行</w:t>
      </w:r>
      <w:r>
        <w:rPr>
          <w:rFonts w:ascii="仿宋" w:eastAsia="仿宋" w:hAnsi="仿宋" w:cs="仿宋" w:hint="eastAsia"/>
          <w:color w:val="auto"/>
          <w:sz w:val="28"/>
          <w:szCs w:val="28"/>
        </w:rPr>
        <w:t>智慧课程说课和教学设计优化方案汇报，并回答评委提问。现场比赛时间</w:t>
      </w:r>
      <w:r>
        <w:rPr>
          <w:rFonts w:ascii="仿宋" w:eastAsia="仿宋" w:hAnsi="仿宋" w:cs="仿宋" w:hint="eastAsia"/>
          <w:sz w:val="28"/>
          <w:szCs w:val="28"/>
        </w:rPr>
        <w:t>及地点将另行通知。初赛成绩占50%，决赛成绩占50%，一起计入总分。预计于2026年7月底进行决赛，以具体通知为准。</w:t>
      </w:r>
    </w:p>
    <w:p w14:paraId="329DF349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参赛教师提交的所有材料需保证原创性、真实性，不得抄袭、剽窃他人作品。如有违规行为，将取消参赛资格。</w:t>
      </w:r>
    </w:p>
    <w:p w14:paraId="708AF376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参赛教师享有作品的著作权，但同意将作品的修改权、信息网络传播权等部分权利授权给混合式教学创新者联盟及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超星泛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雅集团，以便进行展示和推广。</w:t>
      </w:r>
    </w:p>
    <w:p w14:paraId="1DAADBB2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大赛官网开放时间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截至</w:t>
      </w:r>
      <w:r>
        <w:rPr>
          <w:rFonts w:ascii="仿宋" w:eastAsia="仿宋" w:hAnsi="仿宋" w:cs="仿宋" w:hint="eastAsia"/>
          <w:color w:val="auto"/>
          <w:sz w:val="28"/>
          <w:szCs w:val="28"/>
        </w:rPr>
        <w:t>2026年4月20日24:00</w:t>
      </w:r>
      <w:r>
        <w:rPr>
          <w:rFonts w:ascii="仿宋" w:eastAsia="仿宋" w:hAnsi="仿宋" w:cs="仿宋" w:hint="eastAsia"/>
          <w:sz w:val="28"/>
          <w:szCs w:val="28"/>
        </w:rPr>
        <w:t>，参赛教师可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登录官网查看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详细比赛规则、进程安排及下载相关附件、完成比赛资料上传。</w:t>
      </w:r>
    </w:p>
    <w:p w14:paraId="3EBB0FCF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2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七、奖项设置</w:t>
      </w:r>
    </w:p>
    <w:p w14:paraId="295A515E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个人（团队）奖：按办学定位（本科、职业教育）分设特等奖、一等奖、二等奖、三等奖及优秀奖，比例分别为1%、4%、10%、25%、20%。</w:t>
      </w:r>
    </w:p>
    <w:p w14:paraId="08F03C79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专项奖：设立智慧教学设计创新奖、AI教学应用创意奖等专项奖，颁发荣誉证书。</w:t>
      </w:r>
    </w:p>
    <w:p w14:paraId="034C9FB7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优秀组织奖：对积极推荐教师参赛并获得良好成绩的单位，授予优秀组织奖。</w:t>
      </w:r>
    </w:p>
    <w:p w14:paraId="2D97D3F9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特等奖、一等奖获奖教师将受邀聘为超星智慧教学研究院特聘专家、混合式教学创新者联盟特聘专家，作为各种会议、高校评审、指导等特邀专家。</w:t>
      </w:r>
    </w:p>
    <w:p w14:paraId="34ABBC8B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2"/>
        <w:contextualSpacing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八、其他</w:t>
      </w:r>
    </w:p>
    <w:p w14:paraId="3B6CFD1C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1.提交初赛材料，即视为认同大赛方案；</w:t>
      </w:r>
    </w:p>
    <w:p w14:paraId="5F36E221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noProof/>
          <w:snapToGrid/>
          <w:sz w:val="28"/>
          <w:szCs w:val="28"/>
          <w:lang w:val="zh-CN"/>
        </w:rPr>
        <w:drawing>
          <wp:anchor distT="0" distB="0" distL="0" distR="0" simplePos="0" relativeHeight="251659264" behindDoc="0" locked="0" layoutInCell="1" allowOverlap="1" wp14:anchorId="5C528A29" wp14:editId="658B206F">
            <wp:simplePos x="0" y="0"/>
            <wp:positionH relativeFrom="column">
              <wp:posOffset>2962275</wp:posOffset>
            </wp:positionH>
            <wp:positionV relativeFrom="paragraph">
              <wp:posOffset>638810</wp:posOffset>
            </wp:positionV>
            <wp:extent cx="1632584" cy="1512570"/>
            <wp:effectExtent l="0" t="0" r="0" b="9525"/>
            <wp:wrapNone/>
            <wp:docPr id="1028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5" cstate="print"/>
                    <a:srcRect l="5033" t="14828" r="1299" b="22944"/>
                    <a:stretch/>
                  </pic:blipFill>
                  <pic:spPr>
                    <a:xfrm>
                      <a:off x="0" y="0"/>
                      <a:ext cx="1632584" cy="1512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2.大赛解释权，归第二届“泛雅杯”全国高校智慧课程设计大赛组委会。</w:t>
      </w:r>
    </w:p>
    <w:p w14:paraId="79CAE6C7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第二届“泛雅杯”全国高校智慧课程设计大赛组委会</w:t>
      </w:r>
    </w:p>
    <w:p w14:paraId="7804698F" w14:textId="77777777" w:rsidR="00F93A4F" w:rsidRDefault="00F93A4F" w:rsidP="00F93A4F">
      <w:pPr>
        <w:spacing w:before="100" w:beforeAutospacing="1" w:after="100" w:afterAutospacing="1" w:line="360" w:lineRule="auto"/>
        <w:ind w:firstLineChars="200" w:firstLine="560"/>
        <w:contextualSpacing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2025年11月</w:t>
      </w:r>
    </w:p>
    <w:p w14:paraId="299381E5" w14:textId="77777777" w:rsidR="00F93A4F" w:rsidRDefault="00F93A4F"/>
    <w:sectPr w:rsidR="00F93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B56CE"/>
    <w:multiLevelType w:val="singleLevel"/>
    <w:tmpl w:val="FB64361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9606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4F"/>
    <w:rsid w:val="00F260E4"/>
    <w:rsid w:val="00F9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49BF"/>
  <w15:chartTrackingRefBased/>
  <w15:docId w15:val="{12CD5ABB-0658-4FF2-B95F-5217E729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A4F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等线" w:hAnsi="Arial" w:cs="Arial"/>
      <w:snapToGrid w:val="0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3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A4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A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A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A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A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A4F"/>
    <w:rPr>
      <w:b/>
      <w:bCs/>
      <w:smallCaps/>
      <w:color w:val="2F5496" w:themeColor="accent1" w:themeShade="BF"/>
      <w:spacing w:val="5"/>
    </w:rPr>
  </w:style>
  <w:style w:type="paragraph" w:customStyle="1" w:styleId="Style13">
    <w:name w:val="_Style 13"/>
    <w:qFormat/>
    <w:rsid w:val="00F93A4F"/>
    <w:pPr>
      <w:spacing w:before="120" w:after="120" w:line="288" w:lineRule="auto"/>
    </w:pPr>
    <w:rPr>
      <w:rFonts w:ascii="Arial" w:eastAsia="等线" w:hAnsi="Arial" w:cs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1071</Characters>
  <Application>Microsoft Office Word</Application>
  <DocSecurity>0</DocSecurity>
  <Lines>107</Lines>
  <Paragraphs>77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玉霞 赵</dc:creator>
  <cp:keywords/>
  <dc:description/>
  <cp:lastModifiedBy>玉霞 赵</cp:lastModifiedBy>
  <cp:revision>1</cp:revision>
  <dcterms:created xsi:type="dcterms:W3CDTF">2025-11-20T02:45:00Z</dcterms:created>
  <dcterms:modified xsi:type="dcterms:W3CDTF">2025-11-20T02:45:00Z</dcterms:modified>
</cp:coreProperties>
</file>