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adjustRightInd w:val="0"/>
        <w:snapToGrid w:val="0"/>
        <w:spacing w:line="520" w:lineRule="exact"/>
        <w:rPr>
          <w:rFonts w:ascii="Times New Roman" w:hAnsi="Times New Roman" w:cs="Times New Roman"/>
          <w:sz w:val="32"/>
          <w:szCs w:val="32"/>
        </w:rPr>
      </w:pPr>
      <w:r>
        <w:rPr>
          <w:rFonts w:ascii="Times New Roman" w:hAnsi="Times New Roman" w:eastAsia="黑体" w:cs="Times New Roman"/>
          <w:bCs/>
          <w:color w:val="000000" w:themeColor="text1"/>
          <w:sz w:val="32"/>
          <w:szCs w:val="32"/>
          <w14:textFill>
            <w14:solidFill>
              <w14:schemeClr w14:val="tx1"/>
            </w14:solidFill>
          </w14:textFill>
        </w:rPr>
        <w:t>附件2</w:t>
      </w:r>
    </w:p>
    <w:p>
      <w:pPr>
        <w:keepNext w:val="0"/>
        <w:keepLines w:val="0"/>
        <w:pageBreakBefore w:val="0"/>
        <w:kinsoku/>
        <w:topLinePunct w:val="0"/>
        <w:bidi w:val="0"/>
        <w:adjustRightInd w:val="0"/>
        <w:snapToGrid w:val="0"/>
        <w:spacing w:line="52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kinsoku/>
        <w:topLinePunct w:val="0"/>
        <w:bidi w:val="0"/>
        <w:adjustRightInd w:val="0"/>
        <w:snapToGrid w:val="0"/>
        <w:spacing w:line="52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r>
        <w:rPr>
          <w:rFonts w:hint="eastAsia" w:ascii="Times New Roman" w:hAnsi="Times New Roman" w:eastAsia="方正小标宋简体" w:cs="Times New Roman"/>
          <w:color w:val="000000" w:themeColor="text1"/>
          <w:sz w:val="36"/>
          <w:szCs w:val="36"/>
          <w14:textFill>
            <w14:solidFill>
              <w14:schemeClr w14:val="tx1"/>
            </w14:solidFill>
          </w14:textFill>
        </w:rPr>
        <w:t>上海高校网络教育优秀作品推选展示活动</w:t>
      </w:r>
      <w:r>
        <w:rPr>
          <w:rFonts w:hint="eastAsia" w:ascii="Times New Roman" w:hAnsi="Times New Roman" w:eastAsia="方正小标宋简体" w:cs="Times New Roman"/>
          <w:color w:val="000000" w:themeColor="text1"/>
          <w:sz w:val="36"/>
          <w:szCs w:val="36"/>
          <w:lang w:eastAsia="zh-CN"/>
          <w14:textFill>
            <w14:solidFill>
              <w14:schemeClr w14:val="tx1"/>
            </w14:solidFill>
          </w14:textFill>
        </w:rPr>
        <w:t>征集要求</w:t>
      </w:r>
    </w:p>
    <w:p>
      <w:pPr>
        <w:keepNext w:val="0"/>
        <w:keepLines w:val="0"/>
        <w:pageBreakBefore w:val="0"/>
        <w:kinsoku/>
        <w:topLinePunct w:val="0"/>
        <w:bidi w:val="0"/>
        <w:adjustRightInd w:val="0"/>
        <w:snapToGrid w:val="0"/>
        <w:spacing w:line="520" w:lineRule="exact"/>
        <w:jc w:val="center"/>
        <w:rPr>
          <w:rFonts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本次活动</w:t>
      </w:r>
      <w:r>
        <w:rPr>
          <w:rFonts w:ascii="Times New Roman" w:hAnsi="Times New Roman" w:eastAsia="仿宋_GB2312" w:cs="Times New Roman"/>
          <w:color w:val="000000"/>
          <w:kern w:val="0"/>
          <w:sz w:val="32"/>
          <w:szCs w:val="32"/>
          <w:highlight w:val="none"/>
        </w:rPr>
        <w:t>以习近平新时代中国特色社会主义思想为指导，</w:t>
      </w:r>
      <w:r>
        <w:rPr>
          <w:rFonts w:ascii="Times New Roman" w:hAnsi="Times New Roman" w:eastAsia="仿宋_GB2312" w:cs="Times New Roman"/>
          <w:sz w:val="32"/>
          <w:szCs w:val="32"/>
          <w:highlight w:val="none"/>
        </w:rPr>
        <w:t>围绕“奋进新征程，建功新时代”主旋律，突出爱国爱党爱社会主义引领，</w:t>
      </w:r>
      <w:r>
        <w:rPr>
          <w:rFonts w:ascii="Times New Roman" w:hAnsi="Times New Roman" w:eastAsia="仿宋_GB2312" w:cs="Times New Roman"/>
          <w:color w:val="000000"/>
          <w:kern w:val="0"/>
          <w:sz w:val="32"/>
          <w:szCs w:val="32"/>
          <w:highlight w:val="none"/>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r>
        <w:rPr>
          <w:rFonts w:hint="eastAsia" w:ascii="Times New Roman" w:hAnsi="Times New Roman" w:eastAsia="仿宋_GB2312" w:cs="Times New Roman"/>
          <w:color w:val="000000"/>
          <w:kern w:val="0"/>
          <w:sz w:val="32"/>
          <w:szCs w:val="32"/>
          <w:highlight w:val="none"/>
          <w:lang w:eastAsia="zh-CN"/>
        </w:rPr>
        <w:t>活动</w:t>
      </w:r>
      <w:r>
        <w:rPr>
          <w:rFonts w:hint="eastAsia" w:ascii="Times New Roman" w:hAnsi="Times New Roman" w:eastAsia="仿宋_GB2312" w:cs="Times New Roman"/>
          <w:sz w:val="32"/>
          <w:szCs w:val="32"/>
          <w:highlight w:val="none"/>
          <w:lang w:val="en-US" w:eastAsia="zh-CN"/>
        </w:rPr>
        <w:t>面向</w:t>
      </w:r>
      <w:r>
        <w:rPr>
          <w:rFonts w:ascii="Times New Roman" w:hAnsi="Times New Roman" w:eastAsia="仿宋_GB2312" w:cs="Times New Roman"/>
          <w:color w:val="000000"/>
          <w:kern w:val="0"/>
          <w:sz w:val="32"/>
          <w:szCs w:val="32"/>
          <w:highlight w:val="none"/>
        </w:rPr>
        <w:t>高校思想政治工作者、党务工作者或从事相关领域理论研究和</w:t>
      </w:r>
      <w:r>
        <w:rPr>
          <w:rFonts w:ascii="Times New Roman" w:hAnsi="Times New Roman" w:eastAsia="仿宋_GB2312" w:cs="Times New Roman"/>
          <w:color w:val="000000"/>
          <w:kern w:val="0"/>
          <w:sz w:val="32"/>
          <w:szCs w:val="32"/>
        </w:rPr>
        <w:t>实践工作的专业教师</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color w:val="000000"/>
          <w:kern w:val="0"/>
          <w:sz w:val="32"/>
          <w:szCs w:val="32"/>
          <w:highlight w:val="none"/>
          <w:lang w:eastAsia="zh-CN"/>
        </w:rPr>
        <w:t>共征集</w:t>
      </w:r>
      <w:r>
        <w:rPr>
          <w:rFonts w:hint="eastAsia" w:ascii="仿宋_GB2312" w:hAnsi="仿宋_GB2312" w:eastAsia="仿宋_GB2312" w:cs="仿宋_GB2312"/>
          <w:color w:val="000000"/>
          <w:kern w:val="0"/>
          <w:sz w:val="32"/>
          <w:szCs w:val="32"/>
          <w:highlight w:val="none"/>
        </w:rPr>
        <w:t>优秀网络文章、优秀工作案例、优秀微课、优秀新媒体作品4类作品。</w:t>
      </w:r>
      <w:r>
        <w:rPr>
          <w:rFonts w:hint="eastAsia" w:ascii="仿宋_GB2312" w:hAnsi="仿宋_GB2312" w:eastAsia="仿宋_GB2312" w:cs="仿宋_GB2312"/>
          <w:sz w:val="32"/>
          <w:szCs w:val="32"/>
          <w:highlight w:val="none"/>
        </w:rPr>
        <w:t>所有作品</w:t>
      </w:r>
      <w:r>
        <w:rPr>
          <w:rFonts w:hint="eastAsia" w:ascii="仿宋_GB2312" w:hAnsi="仿宋_GB2312" w:eastAsia="仿宋_GB2312" w:cs="仿宋_GB2312"/>
          <w:sz w:val="32"/>
          <w:szCs w:val="32"/>
          <w:highlight w:val="none"/>
          <w:lang w:eastAsia="zh-CN"/>
        </w:rPr>
        <w:t>均以学校为单位申报，</w:t>
      </w:r>
      <w:r>
        <w:rPr>
          <w:rFonts w:hint="eastAsia" w:ascii="仿宋_GB2312" w:hAnsi="仿宋_GB2312" w:eastAsia="仿宋_GB2312" w:cs="仿宋_GB2312"/>
          <w:sz w:val="32"/>
          <w:szCs w:val="32"/>
        </w:rPr>
        <w:t>须为2022年10月1日至提交截止日期间在网络上发表的作品。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color w:val="000000"/>
          <w:sz w:val="32"/>
          <w:szCs w:val="32"/>
          <w:highlight w:val="none"/>
          <w:lang w:eastAsia="zh-CN"/>
        </w:rPr>
      </w:pPr>
      <w:r>
        <w:rPr>
          <w:rFonts w:ascii="Times New Roman" w:hAnsi="Times New Roman" w:eastAsia="黑体" w:cs="Times New Roman"/>
          <w:color w:val="000000"/>
          <w:sz w:val="32"/>
          <w:szCs w:val="32"/>
          <w:highlight w:val="none"/>
        </w:rPr>
        <w:t>一、征集</w:t>
      </w:r>
      <w:r>
        <w:rPr>
          <w:rFonts w:hint="eastAsia" w:ascii="Times New Roman" w:hAnsi="Times New Roman" w:eastAsia="黑体" w:cs="Times New Roman"/>
          <w:color w:val="000000"/>
          <w:sz w:val="32"/>
          <w:szCs w:val="32"/>
          <w:highlight w:val="none"/>
          <w:lang w:eastAsia="zh-CN"/>
        </w:rPr>
        <w:t>内容</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（一）优秀网络文章</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w:t>
      </w:r>
      <w:r>
        <w:rPr>
          <w:rFonts w:hint="eastAsia" w:ascii="仿宋_GB2312" w:hAnsi="仿宋_GB2312" w:eastAsia="仿宋_GB2312" w:cs="仿宋_GB2312"/>
          <w:color w:val="000000"/>
          <w:kern w:val="0"/>
          <w:sz w:val="32"/>
          <w:szCs w:val="32"/>
        </w:rPr>
        <w:t>品作者限1</w:t>
      </w:r>
      <w:r>
        <w:rPr>
          <w:rFonts w:ascii="Times New Roman" w:hAnsi="Times New Roman" w:eastAsia="仿宋_GB2312" w:cs="Times New Roman"/>
          <w:color w:val="000000"/>
          <w:kern w:val="0"/>
          <w:sz w:val="32"/>
          <w:szCs w:val="32"/>
        </w:rPr>
        <w:t>人，且必须为文章第一作者。</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（二）优秀工作案例</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可围绕个人或团队（高校网络思政工作室、理论社团、心理咨询室、创新创业工作室等）在创新网络思想政治工作、提升师生网络素</w:t>
      </w:r>
      <w:r>
        <w:rPr>
          <w:rFonts w:ascii="Times New Roman" w:hAnsi="Times New Roman" w:eastAsia="仿宋_GB2312"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案例内容应包括项目主题和思路、实施方法和过程、主要成效和经验、下一步加强和改进的计划等，要求文字简洁、重点突出，字数</w:t>
      </w:r>
      <w:r>
        <w:rPr>
          <w:rFonts w:hint="eastAsia" w:ascii="仿宋_GB2312" w:hAnsi="仿宋_GB2312" w:eastAsia="仿宋_GB2312" w:cs="仿宋_GB2312"/>
          <w:color w:val="000000"/>
          <w:kern w:val="0"/>
          <w:sz w:val="32"/>
          <w:szCs w:val="32"/>
        </w:rPr>
        <w:t>3000字以上，可配说明图片和视频。每件作品作者限3人以内。</w:t>
      </w:r>
    </w:p>
    <w:p>
      <w:pPr>
        <w:keepNext w:val="0"/>
        <w:keepLines w:val="0"/>
        <w:pageBreakBefore w:val="0"/>
        <w:kinsoku/>
        <w:wordWrap w:val="0"/>
        <w:topLinePunct w:val="0"/>
        <w:bidi w:val="0"/>
        <w:adjustRightInd w:val="0"/>
        <w:snapToGrid w:val="0"/>
        <w:spacing w:line="52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keepNext w:val="0"/>
        <w:keepLines w:val="0"/>
        <w:pageBreakBefore w:val="0"/>
        <w:kinsoku/>
        <w:wordWrap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w:t>
      </w:r>
      <w:r>
        <w:rPr>
          <w:rFonts w:hint="eastAsia" w:ascii="仿宋_GB2312" w:hAnsi="仿宋_GB2312" w:eastAsia="仿宋_GB2312" w:cs="仿宋_GB2312"/>
          <w:color w:val="000000"/>
          <w:kern w:val="0"/>
          <w:sz w:val="32"/>
          <w:szCs w:val="32"/>
        </w:rPr>
        <w:t>等方面具有较高的水平。标题简洁，目标明确，有个性和特色，作品片长不超过15分钟；画质清晰，声音清楚，提倡标注字幕。每件作品作者限3人以内。</w:t>
      </w:r>
    </w:p>
    <w:p>
      <w:pPr>
        <w:keepNext w:val="0"/>
        <w:keepLines w:val="0"/>
        <w:pageBreakBefore w:val="0"/>
        <w:kinsoku/>
        <w:wordWrap w:val="0"/>
        <w:topLinePunct w:val="0"/>
        <w:bidi w:val="0"/>
        <w:adjustRightInd w:val="0"/>
        <w:snapToGrid w:val="0"/>
        <w:spacing w:line="52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keepNext w:val="0"/>
        <w:keepLines w:val="0"/>
        <w:pageBreakBefore w:val="0"/>
        <w:kinsoku/>
        <w:wordWrap w:val="0"/>
        <w:topLinePunct w:val="0"/>
        <w:bidi w:val="0"/>
        <w:adjustRightInd w:val="0"/>
        <w:snapToGrid w:val="0"/>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keepNext w:val="0"/>
        <w:keepLines w:val="0"/>
        <w:pageBreakBefore w:val="0"/>
        <w:kinsoku/>
        <w:wordWrap w:val="0"/>
        <w:topLinePunct w:val="0"/>
        <w:bidi w:val="0"/>
        <w:adjustRightInd w:val="0"/>
        <w:snapToGrid w:val="0"/>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视频类作品，片长不超过10分钟，</w:t>
      </w:r>
      <w:r>
        <w:rPr>
          <w:rFonts w:hint="eastAsia" w:ascii="仿宋_GB2312" w:hAnsi="仿宋_GB2312" w:eastAsia="仿宋_GB2312" w:cs="仿宋_GB2312"/>
          <w:sz w:val="32"/>
          <w:szCs w:val="32"/>
        </w:rPr>
        <w:t>文件格式为MP4，</w:t>
      </w:r>
      <w:r>
        <w:rPr>
          <w:rFonts w:hint="eastAsia" w:ascii="仿宋_GB2312" w:hAnsi="仿宋_GB2312" w:eastAsia="仿宋_GB2312" w:cs="仿宋_GB2312"/>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b w:val="0"/>
          <w:bCs w:val="0"/>
          <w:color w:val="000000"/>
          <w:sz w:val="32"/>
          <w:szCs w:val="32"/>
          <w:highlight w:val="none"/>
          <w:lang w:eastAsia="zh-CN"/>
        </w:rPr>
      </w:pPr>
      <w:r>
        <w:rPr>
          <w:rFonts w:hint="eastAsia" w:ascii="Times New Roman" w:hAnsi="Times New Roman" w:eastAsia="黑体" w:cs="Times New Roman"/>
          <w:b w:val="0"/>
          <w:bCs w:val="0"/>
          <w:color w:val="000000"/>
          <w:sz w:val="32"/>
          <w:szCs w:val="32"/>
          <w:highlight w:val="none"/>
          <w:lang w:eastAsia="zh-CN"/>
        </w:rPr>
        <w:t>二</w:t>
      </w:r>
      <w:r>
        <w:rPr>
          <w:rFonts w:ascii="Times New Roman" w:hAnsi="Times New Roman" w:eastAsia="黑体" w:cs="Times New Roman"/>
          <w:b w:val="0"/>
          <w:bCs w:val="0"/>
          <w:color w:val="000000"/>
          <w:sz w:val="32"/>
          <w:szCs w:val="32"/>
          <w:highlight w:val="none"/>
        </w:rPr>
        <w:t>、</w:t>
      </w:r>
      <w:r>
        <w:rPr>
          <w:rFonts w:hint="eastAsia" w:ascii="Times New Roman" w:hAnsi="Times New Roman" w:eastAsia="黑体" w:cs="Times New Roman"/>
          <w:b w:val="0"/>
          <w:bCs w:val="0"/>
          <w:color w:val="000000"/>
          <w:sz w:val="32"/>
          <w:szCs w:val="32"/>
          <w:highlight w:val="none"/>
          <w:lang w:eastAsia="zh-CN"/>
        </w:rPr>
        <w:t>申报办法</w:t>
      </w:r>
    </w:p>
    <w:p>
      <w:pPr>
        <w:keepNext w:val="0"/>
        <w:keepLines w:val="0"/>
        <w:pageBreakBefore w:val="0"/>
        <w:kinsoku/>
        <w:wordWrap w:val="0"/>
        <w:topLinePunct w:val="0"/>
        <w:bidi w:val="0"/>
        <w:adjustRightInd w:val="0"/>
        <w:snapToGrid w:val="0"/>
        <w:spacing w:line="520" w:lineRule="exact"/>
        <w:ind w:firstLine="601"/>
        <w:rPr>
          <w:rFonts w:hint="eastAsia" w:ascii="仿宋_GB2312" w:hAnsi="Times New Roman" w:eastAsia="仿宋_GB2312" w:cs="Times New Roman"/>
          <w:b w:val="0"/>
          <w:bCs/>
          <w:sz w:val="32"/>
          <w:szCs w:val="32"/>
          <w:highlight w:val="none"/>
          <w:lang w:val="en-US" w:eastAsia="zh-CN"/>
        </w:rPr>
      </w:pPr>
      <w:r>
        <w:rPr>
          <w:rFonts w:hint="eastAsia" w:ascii="仿宋_GB2312" w:hAnsi="Times New Roman" w:eastAsia="仿宋_GB2312" w:cs="Times New Roman"/>
          <w:b w:val="0"/>
          <w:bCs/>
          <w:sz w:val="32"/>
          <w:szCs w:val="32"/>
          <w:highlight w:val="none"/>
          <w:lang w:val="en-US" w:eastAsia="zh-CN"/>
        </w:rPr>
        <w:t>各二级党组织负责组织本单位作品遴选申报工作，</w:t>
      </w:r>
      <w:bookmarkStart w:id="0" w:name="_GoBack"/>
      <w:bookmarkEnd w:id="0"/>
      <w:r>
        <w:rPr>
          <w:rFonts w:hint="eastAsia" w:ascii="仿宋_GB2312" w:hAnsi="Times New Roman" w:eastAsia="仿宋_GB2312" w:cs="Times New Roman"/>
          <w:b w:val="0"/>
          <w:bCs/>
          <w:sz w:val="32"/>
          <w:szCs w:val="32"/>
          <w:highlight w:val="none"/>
          <w:lang w:val="en-US" w:eastAsia="zh-CN"/>
        </w:rPr>
        <w:t>作品作者使用本人易班账号或手机号注册账号，于2023年12月28日（星期四）前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逾期不予受理。</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b w:val="0"/>
          <w:bCs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三、联系人及联系方式</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rPr>
      </w:pPr>
      <w:r>
        <w:rPr>
          <w:rFonts w:hint="eastAsia" w:ascii="Times New Roman" w:hAnsi="Times New Roman" w:eastAsia="仿宋_GB2312" w:cs="Times New Roman"/>
          <w:b w:val="0"/>
          <w:bCs w:val="0"/>
          <w:color w:val="000000"/>
          <w:kern w:val="0"/>
          <w:sz w:val="32"/>
          <w:szCs w:val="32"/>
          <w:highlight w:val="none"/>
        </w:rPr>
        <w:t>联系人：党委宣传部 王雁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rPr>
      </w:pPr>
      <w:r>
        <w:rPr>
          <w:rFonts w:hint="eastAsia" w:ascii="Times New Roman" w:hAnsi="Times New Roman" w:eastAsia="仿宋_GB2312" w:cs="Times New Roman"/>
          <w:b w:val="0"/>
          <w:bCs w:val="0"/>
          <w:color w:val="000000"/>
          <w:kern w:val="0"/>
          <w:sz w:val="32"/>
          <w:szCs w:val="32"/>
          <w:highlight w:val="none"/>
        </w:rPr>
        <w:t xml:space="preserve">        学生工作部（处） 吕悦</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rPr>
      </w:pPr>
      <w:r>
        <w:rPr>
          <w:rFonts w:hint="eastAsia" w:ascii="Times New Roman" w:hAnsi="Times New Roman" w:eastAsia="仿宋_GB2312" w:cs="Times New Roman"/>
          <w:b w:val="0"/>
          <w:bCs w:val="0"/>
          <w:color w:val="000000"/>
          <w:kern w:val="0"/>
          <w:sz w:val="32"/>
          <w:szCs w:val="32"/>
          <w:highlight w:val="none"/>
        </w:rPr>
        <w:t xml:space="preserve">联系邮箱：353443581@qq.com </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附件：</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2-1.上海高校网络教育优秀作品推选展示活动作品创</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作选题指南</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2-2.上海高校网络教育优秀作品推选展示活动</w:t>
      </w:r>
      <w:r>
        <w:rPr>
          <w:rFonts w:hint="eastAsia" w:ascii="仿宋_GB2312" w:hAnsi="仿宋_GB2312" w:eastAsia="仿宋_GB2312" w:cs="仿宋_GB2312"/>
          <w:color w:val="000000"/>
          <w:kern w:val="0"/>
          <w:sz w:val="32"/>
          <w:szCs w:val="32"/>
          <w:highlight w:val="none"/>
          <w:lang w:eastAsia="zh-CN"/>
        </w:rPr>
        <w:t>作</w:t>
      </w:r>
      <w:r>
        <w:rPr>
          <w:rFonts w:hint="eastAsia" w:ascii="仿宋_GB2312" w:hAnsi="仿宋_GB2312" w:eastAsia="仿宋_GB2312" w:cs="仿宋_GB2312"/>
          <w:color w:val="000000"/>
          <w:kern w:val="0"/>
          <w:sz w:val="32"/>
          <w:szCs w:val="32"/>
          <w:highlight w:val="none"/>
        </w:rPr>
        <w:t>品征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集信息表</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2-3.上海高校网络教育优秀作品推选展示活动作品征</w:t>
      </w:r>
    </w:p>
    <w:p>
      <w:pPr>
        <w:keepNext w:val="0"/>
        <w:keepLines w:val="0"/>
        <w:pageBreakBefore w:val="0"/>
        <w:widowControl w:val="0"/>
        <w:kinsoku/>
        <w:wordWrap w:val="0"/>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集汇总表</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520" w:lineRule="exact"/>
        <w:ind w:right="1200"/>
        <w:jc w:val="left"/>
        <w:textAlignment w:val="auto"/>
        <w:rPr>
          <w:rFonts w:hint="eastAsia" w:ascii="Times New Roman" w:hAnsi="Times New Roman" w:eastAsia="仿宋_GB2312" w:cs="Times New Roman"/>
          <w:b/>
          <w:bCs w:val="0"/>
          <w:sz w:val="32"/>
          <w:szCs w:val="32"/>
          <w:highlight w:val="none"/>
          <w:lang w:val="en-US" w:eastAsia="zh-CN"/>
        </w:rPr>
      </w:pPr>
      <w:r>
        <w:rPr>
          <w:rFonts w:hint="eastAsia" w:ascii="黑体" w:hAnsi="黑体" w:eastAsia="黑体" w:cs="黑体"/>
          <w:b w:val="0"/>
          <w:bCs/>
          <w:sz w:val="32"/>
          <w:szCs w:val="32"/>
          <w:highlight w:val="none"/>
          <w:lang w:val="en-US" w:eastAsia="zh-CN"/>
        </w:rPr>
        <w:t>附件2-1</w:t>
      </w:r>
    </w:p>
    <w:p>
      <w:pPr>
        <w:keepNext w:val="0"/>
        <w:keepLines w:val="0"/>
        <w:pageBreakBefore w:val="0"/>
        <w:widowControl w:val="0"/>
        <w:kinsoku/>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w:t>
      </w:r>
    </w:p>
    <w:p>
      <w:pPr>
        <w:keepNext w:val="0"/>
        <w:keepLines w:val="0"/>
        <w:pageBreakBefore w:val="0"/>
        <w:widowControl w:val="0"/>
        <w:kinsoku/>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作品创作选题指南</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keepNext w:val="0"/>
        <w:keepLines w:val="0"/>
        <w:pageBreakBefore w:val="0"/>
        <w:kinsoku/>
        <w:wordWrap w:val="0"/>
        <w:topLinePunct w:val="0"/>
        <w:bidi w:val="0"/>
        <w:adjustRightInd w:val="0"/>
        <w:snapToGrid w:val="0"/>
        <w:spacing w:line="520" w:lineRule="exact"/>
        <w:ind w:firstLine="64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学习宣传习近平总书记关于爱国主义教育的重要论述，表达青年学生的爱国之情、强国之志、报国之行。</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6.学习宣传习近平总书记关于网络强国的重要思想，引导青年大学生守护网络安全，投身信息化、数字化、智能化建设。</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7.学习宣传习近平法治思想，弘扬社会主义法治理念、法治精神，培育社会主义法治文化</w:t>
      </w:r>
      <w:r>
        <w:rPr>
          <w:rFonts w:hint="eastAsia" w:ascii="仿宋_GB2312" w:hAnsi="仿宋_GB2312" w:eastAsia="仿宋_GB2312" w:cs="仿宋_GB2312"/>
          <w:kern w:val="0"/>
          <w:sz w:val="32"/>
          <w:szCs w:val="32"/>
        </w:rPr>
        <w:t>，不断提升法治意识和法治素养，自觉尊法学法守法用法。</w:t>
      </w:r>
    </w:p>
    <w:p>
      <w:pPr>
        <w:keepNext w:val="0"/>
        <w:keepLines w:val="0"/>
        <w:pageBreakBefore w:val="0"/>
        <w:kinsoku/>
        <w:topLinePunct w:val="0"/>
        <w:bidi w:val="0"/>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8.深入开展以党史为重点的“四史”宣传教育，</w:t>
      </w:r>
      <w:r>
        <w:rPr>
          <w:rFonts w:hint="eastAsia" w:ascii="仿宋_GB2312" w:hAnsi="仿宋_GB2312" w:eastAsia="仿宋_GB2312" w:cs="仿宋_GB2312"/>
          <w:sz w:val="32"/>
          <w:szCs w:val="32"/>
        </w:rPr>
        <w:t>学习宣传中国共产党人的精神谱系，弘扬伟大建党精神，用好红色资源，发扬红色传统，传承红色基因，赓续共产党人精神血脉。</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9.学习弘扬中华优秀传统文化、革命文化、社会主义先进文化，践行社会主义核心价值观。</w:t>
      </w:r>
    </w:p>
    <w:p>
      <w:pPr>
        <w:keepNext w:val="0"/>
        <w:keepLines w:val="0"/>
        <w:pageBreakBefore w:val="0"/>
        <w:kinsoku/>
        <w:topLinePunct w:val="0"/>
        <w:bidi w:val="0"/>
        <w:adjustRightInd w:val="0"/>
        <w:snapToGrid w:val="0"/>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10.开展国家安全教育，</w:t>
      </w:r>
      <w:r>
        <w:rPr>
          <w:rFonts w:hint="eastAsia" w:ascii="仿宋_GB2312" w:hAnsi="仿宋_GB2312" w:eastAsia="仿宋_GB2312" w:cs="仿宋_GB2312"/>
          <w:sz w:val="32"/>
          <w:szCs w:val="32"/>
        </w:rPr>
        <w:t>树牢总体国家安全观，</w:t>
      </w:r>
      <w:r>
        <w:rPr>
          <w:rFonts w:hint="eastAsia" w:ascii="仿宋_GB2312" w:hAnsi="仿宋_GB2312" w:eastAsia="仿宋_GB2312" w:cs="仿宋_GB2312"/>
          <w:sz w:val="32"/>
          <w:szCs w:val="32"/>
          <w:lang w:eastAsia="zh-Hans"/>
        </w:rPr>
        <w:t>从政治安全、</w:t>
      </w:r>
      <w:r>
        <w:rPr>
          <w:rFonts w:hint="eastAsia" w:ascii="仿宋_GB2312" w:hAnsi="仿宋_GB2312" w:eastAsia="仿宋_GB2312" w:cs="仿宋_GB2312"/>
          <w:sz w:val="32"/>
          <w:szCs w:val="32"/>
        </w:rPr>
        <w:t>社会安全、</w:t>
      </w:r>
      <w:r>
        <w:rPr>
          <w:rFonts w:hint="eastAsia" w:ascii="仿宋_GB2312" w:hAnsi="仿宋_GB2312" w:eastAsia="仿宋_GB2312" w:cs="仿宋_GB2312"/>
          <w:sz w:val="32"/>
          <w:szCs w:val="32"/>
          <w:lang w:eastAsia="zh-Hans"/>
        </w:rPr>
        <w:t>网络安全、科技安全、生态安全、生物安全</w:t>
      </w:r>
      <w:r>
        <w:rPr>
          <w:rFonts w:hint="eastAsia" w:ascii="仿宋_GB2312" w:hAnsi="仿宋_GB2312" w:eastAsia="仿宋_GB2312" w:cs="仿宋_GB2312"/>
          <w:sz w:val="32"/>
          <w:szCs w:val="32"/>
        </w:rPr>
        <w:t>及反间防谍、反恐防恐、反邪教</w:t>
      </w:r>
      <w:r>
        <w:rPr>
          <w:rFonts w:hint="eastAsia" w:ascii="仿宋_GB2312" w:hAnsi="仿宋_GB2312" w:eastAsia="仿宋_GB2312" w:cs="仿宋_GB2312"/>
          <w:sz w:val="32"/>
          <w:szCs w:val="32"/>
          <w:lang w:eastAsia="zh-Hans"/>
        </w:rPr>
        <w:t>等方面阐释</w:t>
      </w:r>
      <w:r>
        <w:rPr>
          <w:rFonts w:hint="eastAsia" w:ascii="仿宋_GB2312" w:hAnsi="仿宋_GB2312" w:eastAsia="仿宋_GB2312" w:cs="仿宋_GB2312"/>
          <w:color w:val="000000"/>
          <w:kern w:val="0"/>
          <w:sz w:val="32"/>
          <w:szCs w:val="32"/>
        </w:rPr>
        <w:t>国家安全教育的重要性，自觉维护国家安全。</w:t>
      </w:r>
    </w:p>
    <w:p>
      <w:pPr>
        <w:keepNext w:val="0"/>
        <w:keepLines w:val="0"/>
        <w:pageBreakBefore w:val="0"/>
        <w:kinsoku/>
        <w:overflowPunct w:val="0"/>
        <w:topLinePunct w:val="0"/>
        <w:bidi w:val="0"/>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11.开展</w:t>
      </w:r>
      <w:r>
        <w:rPr>
          <w:rFonts w:hint="eastAsia" w:ascii="仿宋_GB2312" w:hAnsi="仿宋_GB2312" w:eastAsia="仿宋_GB2312" w:cs="仿宋_GB2312"/>
          <w:sz w:val="32"/>
          <w:szCs w:val="32"/>
        </w:rPr>
        <w:t>网络文明教育，</w:t>
      </w:r>
      <w:r>
        <w:rPr>
          <w:rFonts w:hint="eastAsia" w:ascii="仿宋_GB2312" w:hAnsi="仿宋_GB2312" w:eastAsia="仿宋_GB2312" w:cs="仿宋_GB2312"/>
          <w:color w:val="000000"/>
          <w:kern w:val="0"/>
          <w:sz w:val="32"/>
          <w:szCs w:val="32"/>
        </w:rPr>
        <w:t>倡导文明理性健康上网，提升网络素养，增强辨别是非的能力，</w:t>
      </w:r>
      <w:r>
        <w:rPr>
          <w:rFonts w:hint="eastAsia" w:ascii="仿宋_GB2312" w:hAnsi="仿宋_GB2312" w:eastAsia="仿宋_GB2312" w:cs="仿宋_GB2312"/>
          <w:kern w:val="0"/>
          <w:sz w:val="32"/>
          <w:szCs w:val="32"/>
        </w:rPr>
        <w:t>积极参与网络文明建设</w:t>
      </w:r>
      <w:r>
        <w:rPr>
          <w:rFonts w:hint="eastAsia" w:ascii="仿宋_GB2312" w:hAnsi="仿宋_GB2312" w:eastAsia="仿宋_GB2312" w:cs="仿宋_GB2312"/>
          <w:color w:val="000000"/>
          <w:kern w:val="0"/>
          <w:sz w:val="32"/>
          <w:szCs w:val="32"/>
        </w:rPr>
        <w:t>，争做校园好网民，营造清朗网络空间，</w:t>
      </w:r>
      <w:r>
        <w:rPr>
          <w:rFonts w:hint="eastAsia" w:ascii="仿宋_GB2312" w:hAnsi="仿宋_GB2312" w:eastAsia="仿宋_GB2312" w:cs="仿宋_GB2312"/>
          <w:sz w:val="32"/>
          <w:szCs w:val="32"/>
        </w:rPr>
        <w:t>共建美好网上精神家园。</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12.落实立德树人根本任务，深入实施“时代新人铸魂工程”，</w:t>
      </w:r>
      <w:r>
        <w:rPr>
          <w:rFonts w:hint="eastAsia" w:ascii="仿宋_GB2312" w:hAnsi="仿宋_GB2312" w:eastAsia="仿宋_GB2312" w:cs="仿宋_GB2312"/>
          <w:color w:val="000000"/>
          <w:sz w:val="32"/>
          <w:szCs w:val="32"/>
        </w:rPr>
        <w:t>抓好后继有人根本大计，</w:t>
      </w:r>
      <w:r>
        <w:rPr>
          <w:rFonts w:hint="eastAsia" w:ascii="仿宋_GB2312" w:hAnsi="仿宋_GB2312" w:eastAsia="仿宋_GB2312" w:cs="仿宋_GB2312"/>
          <w:color w:val="000000"/>
          <w:kern w:val="0"/>
          <w:sz w:val="32"/>
          <w:szCs w:val="32"/>
        </w:rPr>
        <w:t>培养担当民族复兴大任的时代新人，提升高校思想政治教育时代性、针对性、科学性的思考和实践。</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13.推动“三全育人”综合改革，构建高校思想政治工作体系的思考与实践。</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14.促进教师做学生为学、为事、为人的示范，成为大先生的思考与实践。</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15.推进思政工作传统优势同信息技术融合，加强网络思政教育，提升网络舆论引导能力，运用互联网技术手段开展思政工作的对策分析。</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16.开展校园文化建设，实施校园文化提能增效，强化以文化人以文育人，培育优良校风学风。</w:t>
      </w:r>
    </w:p>
    <w:p>
      <w:pPr>
        <w:pStyle w:val="13"/>
        <w:keepNext w:val="0"/>
        <w:keepLines w:val="0"/>
        <w:pageBreakBefore w:val="0"/>
        <w:kinsoku/>
        <w:wordWrap w:val="0"/>
        <w:topLinePunct w:val="0"/>
        <w:bidi w:val="0"/>
        <w:adjustRightInd w:val="0"/>
        <w:snapToGrid w:val="0"/>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17.开展大学生心理健康教育，普及心理健康知识，培育理性平和、积极向上的健康心态。</w:t>
      </w:r>
    </w:p>
    <w:p>
      <w:pPr>
        <w:pStyle w:val="13"/>
        <w:keepNext w:val="0"/>
        <w:keepLines w:val="0"/>
        <w:pageBreakBefore w:val="0"/>
        <w:kinsoku/>
        <w:wordWrap w:val="0"/>
        <w:topLinePunct w:val="0"/>
        <w:bidi w:val="0"/>
        <w:adjustRightInd w:val="0"/>
        <w:snapToGrid w:val="0"/>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18.开展诚信教育，围绕学习学术、助学贷款、就业求职等方面的问题，提升新时代大学生诚信意识，营造守信良好氛围。</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19.铸牢中华民族共同体意识，增强听党话、感党恩、跟党走的政治自觉、思想自觉和行动自觉，厚植对中华民族的认同感，构建中华民族共有精神家园。</w:t>
      </w:r>
    </w:p>
    <w:p>
      <w:pPr>
        <w:pStyle w:val="13"/>
        <w:keepNext w:val="0"/>
        <w:keepLines w:val="0"/>
        <w:pageBreakBefore w:val="0"/>
        <w:kinsoku/>
        <w:wordWrap w:val="0"/>
        <w:topLinePunct w:val="0"/>
        <w:bidi w:val="0"/>
        <w:adjustRightInd w:val="0"/>
        <w:snapToGrid w:val="0"/>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20.共建和谐、平安、美丽校园，实施“一站式”学生社区综合治理创新，提升广大师生安全感、获得感、幸福感。</w:t>
      </w:r>
    </w:p>
    <w:p>
      <w:pPr>
        <w:pStyle w:val="13"/>
        <w:keepNext w:val="0"/>
        <w:keepLines w:val="0"/>
        <w:pageBreakBefore w:val="0"/>
        <w:kinsoku/>
        <w:wordWrap w:val="0"/>
        <w:topLinePunct w:val="0"/>
        <w:bidi w:val="0"/>
        <w:adjustRightInd w:val="0"/>
        <w:snapToGrid w:val="0"/>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21.防范电信网络诈骗，提高反诈防骗能力，提升师生自我防护和遵纪守法意识。</w:t>
      </w:r>
    </w:p>
    <w:p>
      <w:pPr>
        <w:pStyle w:val="13"/>
        <w:keepNext w:val="0"/>
        <w:keepLines w:val="0"/>
        <w:pageBreakBefore w:val="0"/>
        <w:kinsoku/>
        <w:wordWrap w:val="0"/>
        <w:topLinePunct w:val="0"/>
        <w:bidi w:val="0"/>
        <w:adjustRightInd w:val="0"/>
        <w:snapToGrid w:val="0"/>
        <w:spacing w:line="52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22.积极开展绿色环保、</w:t>
      </w:r>
      <w:r>
        <w:rPr>
          <w:rFonts w:hint="eastAsia" w:ascii="仿宋_GB2312" w:hAnsi="仿宋_GB2312" w:eastAsia="仿宋_GB2312" w:cs="仿宋_GB2312"/>
          <w:color w:val="000000"/>
          <w:kern w:val="0"/>
          <w:sz w:val="32"/>
          <w:szCs w:val="32"/>
          <w:shd w:val="clear" w:color="auto" w:fill="FFFFFF"/>
        </w:rPr>
        <w:t>书香阅读、</w:t>
      </w:r>
      <w:r>
        <w:rPr>
          <w:rFonts w:hint="eastAsia" w:ascii="仿宋_GB2312" w:hAnsi="仿宋_GB2312" w:eastAsia="仿宋_GB2312" w:cs="仿宋_GB2312"/>
          <w:color w:val="000000"/>
          <w:kern w:val="0"/>
          <w:sz w:val="32"/>
          <w:szCs w:val="32"/>
        </w:rPr>
        <w:t>厉行</w:t>
      </w:r>
      <w:r>
        <w:rPr>
          <w:rFonts w:hint="eastAsia" w:ascii="仿宋_GB2312" w:hAnsi="仿宋_GB2312" w:eastAsia="仿宋_GB2312" w:cs="仿宋_GB2312"/>
          <w:color w:val="000000"/>
          <w:kern w:val="0"/>
          <w:sz w:val="32"/>
          <w:szCs w:val="32"/>
          <w:shd w:val="clear" w:color="auto" w:fill="FFFFFF"/>
        </w:rPr>
        <w:t>节约</w:t>
      </w:r>
      <w:r>
        <w:rPr>
          <w:rFonts w:hint="eastAsia" w:ascii="仿宋_GB2312" w:hAnsi="仿宋_GB2312" w:eastAsia="仿宋_GB2312" w:cs="仿宋_GB2312"/>
          <w:color w:val="000000"/>
          <w:kern w:val="0"/>
          <w:sz w:val="32"/>
          <w:szCs w:val="32"/>
        </w:rPr>
        <w:t>、禁毒防艾、扫黄打非等公益宣传。</w:t>
      </w:r>
    </w:p>
    <w:p>
      <w:pPr>
        <w:pStyle w:val="13"/>
        <w:keepNext w:val="0"/>
        <w:keepLines w:val="0"/>
        <w:pageBreakBefore w:val="0"/>
        <w:kinsoku/>
        <w:wordWrap w:val="0"/>
        <w:topLinePunct w:val="0"/>
        <w:bidi w:val="0"/>
        <w:adjustRightInd w:val="0"/>
        <w:snapToGrid w:val="0"/>
        <w:spacing w:line="520" w:lineRule="exact"/>
        <w:ind w:firstLine="602"/>
        <w:rPr>
          <w:rFonts w:ascii="Times New Roman" w:hAnsi="Times New Roman" w:cs="Times New Roman"/>
          <w:sz w:val="32"/>
          <w:szCs w:val="32"/>
        </w:rPr>
      </w:pPr>
      <w:r>
        <w:rPr>
          <w:rFonts w:ascii="Times New Roman" w:hAnsi="Times New Roman" w:eastAsia="仿宋_GB2312" w:cs="Times New Roman"/>
          <w:b/>
          <w:bCs/>
          <w:color w:val="000000"/>
          <w:sz w:val="32"/>
          <w:szCs w:val="32"/>
        </w:rPr>
        <w:t>（供创作参考，不限于以上主题）</w:t>
      </w:r>
    </w:p>
    <w:p>
      <w:pPr>
        <w:keepNext w:val="0"/>
        <w:keepLines w:val="0"/>
        <w:pageBreakBefore w:val="0"/>
        <w:kinsoku/>
        <w:topLinePunct w:val="0"/>
        <w:bidi w:val="0"/>
        <w:adjustRightInd w:val="0"/>
        <w:snapToGrid w:val="0"/>
        <w:spacing w:line="520" w:lineRule="exact"/>
        <w:rPr>
          <w:rFonts w:ascii="Times New Roman" w:hAnsi="Times New Roman" w:eastAsia="仿宋_GB2312" w:cs="Times New Roman"/>
          <w:b/>
          <w:kern w:val="0"/>
          <w:sz w:val="32"/>
          <w:szCs w:val="32"/>
        </w:rPr>
      </w:pPr>
    </w:p>
    <w:p>
      <w:pPr>
        <w:keepNext w:val="0"/>
        <w:keepLines w:val="0"/>
        <w:pageBreakBefore w:val="0"/>
        <w:kinsoku/>
        <w:topLinePunct w:val="0"/>
        <w:bidi w:val="0"/>
        <w:adjustRightInd w:val="0"/>
        <w:snapToGrid w:val="0"/>
        <w:spacing w:line="520" w:lineRule="exact"/>
        <w:rPr>
          <w:rFonts w:ascii="Times New Roman" w:hAnsi="Times New Roman" w:eastAsia="黑体" w:cs="Times New Roman"/>
          <w:b/>
          <w:kern w:val="0"/>
          <w:sz w:val="32"/>
          <w:szCs w:val="32"/>
        </w:rPr>
      </w:pP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附件2-2</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高校网络教育优秀作品推选展示活动作品</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60" w:hRule="atLeast"/>
          <w:jc w:val="center"/>
        </w:trPr>
        <w:tc>
          <w:tcPr>
            <w:tcW w:w="1316"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推荐单位</w:t>
            </w:r>
          </w:p>
        </w:tc>
        <w:tc>
          <w:tcPr>
            <w:tcW w:w="7635" w:type="dxa"/>
            <w:gridSpan w:val="4"/>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作者信息</w:t>
            </w:r>
          </w:p>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spacing w:val="-12"/>
                <w:kern w:val="0"/>
                <w:sz w:val="28"/>
                <w:szCs w:val="28"/>
                <w:highlight w:val="none"/>
              </w:rPr>
            </w:pPr>
            <w:r>
              <w:rPr>
                <w:rFonts w:hint="eastAsia" w:ascii="仿宋_GB2312" w:hAnsi="仿宋_GB2312" w:eastAsia="仿宋_GB2312" w:cs="仿宋_GB2312"/>
                <w:kern w:val="0"/>
                <w:sz w:val="21"/>
                <w:szCs w:val="21"/>
                <w:highlight w:val="none"/>
              </w:rPr>
              <w:t>（网络文章作者限1人，微课及工作案例作者最多3人，新媒体作品最多6人）</w:t>
            </w: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姓    名</w:t>
            </w:r>
          </w:p>
        </w:tc>
        <w:tc>
          <w:tcPr>
            <w:tcW w:w="2693"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240" w:lineRule="auto"/>
              <w:ind w:left="15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学</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校</w:t>
            </w:r>
          </w:p>
        </w:tc>
        <w:tc>
          <w:tcPr>
            <w:tcW w:w="1701"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职务/</w:t>
            </w:r>
            <w:r>
              <w:rPr>
                <w:rFonts w:hint="eastAsia" w:ascii="仿宋_GB2312" w:hAnsi="仿宋_GB2312" w:eastAsia="仿宋_GB2312" w:cs="仿宋_GB2312"/>
                <w:kern w:val="0"/>
                <w:sz w:val="28"/>
                <w:szCs w:val="28"/>
                <w:highlight w:val="none"/>
              </w:rPr>
              <w:t>职称</w:t>
            </w:r>
          </w:p>
        </w:tc>
        <w:tc>
          <w:tcPr>
            <w:tcW w:w="182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手机</w:t>
            </w:r>
            <w:r>
              <w:rPr>
                <w:rFonts w:hint="eastAsia" w:ascii="仿宋_GB2312" w:hAnsi="仿宋_GB2312" w:eastAsia="仿宋_GB2312" w:cs="仿宋_GB2312"/>
                <w:kern w:val="0"/>
                <w:sz w:val="21"/>
                <w:szCs w:val="21"/>
                <w:highlight w:val="none"/>
              </w:rPr>
              <w:t>（务必作者本人手机</w:t>
            </w:r>
            <w:r>
              <w:rPr>
                <w:rFonts w:hint="eastAsia" w:ascii="仿宋_GB2312" w:hAnsi="仿宋_GB2312" w:eastAsia="仿宋_GB2312" w:cs="仿宋_GB2312"/>
                <w:kern w:val="0"/>
                <w:sz w:val="21"/>
                <w:szCs w:val="21"/>
                <w:highlight w:val="none"/>
                <w:lang w:val="en-US" w:eastAsia="zh-CN"/>
              </w:rPr>
              <w:t>号码</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01"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作品信息</w:t>
            </w:r>
          </w:p>
          <w:p>
            <w:pPr>
              <w:keepNext w:val="0"/>
              <w:keepLines w:val="0"/>
              <w:pageBreakBefore w:val="0"/>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作品名称</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作品类别</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□网络文章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□工作案例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□微课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作品简介（可附页）</w:t>
            </w:r>
          </w:p>
        </w:tc>
        <w:tc>
          <w:tcPr>
            <w:tcW w:w="6218" w:type="dxa"/>
            <w:gridSpan w:val="3"/>
            <w:noWrap w:val="0"/>
            <w:tcMar>
              <w:left w:w="28" w:type="dxa"/>
            </w:tcMar>
            <w:vAlign w:val="top"/>
          </w:tcPr>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05" w:hRule="atLeast"/>
          <w:jc w:val="center"/>
        </w:trPr>
        <w:tc>
          <w:tcPr>
            <w:tcW w:w="1316"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意见</w:t>
            </w:r>
          </w:p>
        </w:tc>
        <w:tc>
          <w:tcPr>
            <w:tcW w:w="7635" w:type="dxa"/>
            <w:gridSpan w:val="4"/>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240" w:lineRule="auto"/>
              <w:ind w:right="560"/>
              <w:jc w:val="left"/>
              <w:rPr>
                <w:rFonts w:hint="eastAsia" w:ascii="仿宋_GB2312" w:hAnsi="仿宋_GB2312" w:eastAsia="仿宋_GB2312" w:cs="仿宋_GB2312"/>
                <w:kern w:val="0"/>
                <w:sz w:val="28"/>
                <w:szCs w:val="28"/>
                <w:highlight w:val="none"/>
              </w:rPr>
            </w:pPr>
          </w:p>
          <w:p>
            <w:pPr>
              <w:keepNext w:val="0"/>
              <w:keepLines w:val="0"/>
              <w:pageBreakBefore w:val="0"/>
              <w:widowControl/>
              <w:kinsoku/>
              <w:topLinePunct w:val="0"/>
              <w:bidi w:val="0"/>
              <w:adjustRightInd w:val="0"/>
              <w:snapToGrid w:val="0"/>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 xml:space="preserve">负责人：            </w:t>
            </w:r>
            <w:r>
              <w:rPr>
                <w:rFonts w:hint="eastAsia" w:ascii="仿宋_GB2312" w:hAnsi="仿宋_GB2312" w:eastAsia="仿宋_GB2312" w:cs="仿宋_GB2312"/>
                <w:kern w:val="0"/>
                <w:sz w:val="28"/>
                <w:szCs w:val="28"/>
                <w:highlight w:val="none"/>
                <w:lang w:val="en-US" w:eastAsia="zh-CN"/>
              </w:rPr>
              <w:t xml:space="preserve">                 </w:t>
            </w:r>
          </w:p>
          <w:p>
            <w:pPr>
              <w:keepNext w:val="0"/>
              <w:keepLines w:val="0"/>
              <w:pageBreakBefore w:val="0"/>
              <w:widowControl/>
              <w:kinsoku/>
              <w:topLinePunct w:val="0"/>
              <w:bidi w:val="0"/>
              <w:adjustRightInd w:val="0"/>
              <w:snapToGrid w:val="0"/>
              <w:spacing w:line="240" w:lineRule="auto"/>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 xml:space="preserve"> （盖章）</w:t>
            </w:r>
          </w:p>
          <w:p>
            <w:pPr>
              <w:keepNext w:val="0"/>
              <w:keepLines w:val="0"/>
              <w:pageBreakBefore w:val="0"/>
              <w:widowControl/>
              <w:kinsoku/>
              <w:topLinePunct w:val="0"/>
              <w:bidi w:val="0"/>
              <w:adjustRightInd w:val="0"/>
              <w:snapToGrid w:val="0"/>
              <w:spacing w:line="240" w:lineRule="auto"/>
              <w:ind w:right="560" w:firstLine="5320" w:firstLineChars="19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  月  日</w:t>
            </w:r>
          </w:p>
        </w:tc>
      </w:tr>
    </w:tbl>
    <w:p>
      <w:pPr>
        <w:keepNext w:val="0"/>
        <w:keepLines w:val="0"/>
        <w:pageBreakBefore w:val="0"/>
        <w:kinsoku/>
        <w:topLinePunct w:val="0"/>
        <w:bidi w:val="0"/>
        <w:adjustRightInd w:val="0"/>
        <w:snapToGrid w:val="0"/>
        <w:spacing w:line="520" w:lineRule="exact"/>
        <w:ind w:firstLine="190" w:firstLineChars="100"/>
        <w:jc w:val="left"/>
        <w:rPr>
          <w:rFonts w:hint="eastAsia" w:ascii="仿宋_GB2312" w:hAnsi="仿宋_GB2312" w:eastAsia="仿宋_GB2312" w:cs="仿宋_GB2312"/>
          <w:spacing w:val="-10"/>
          <w:kern w:val="0"/>
          <w:sz w:val="21"/>
          <w:szCs w:val="21"/>
          <w:highlight w:val="none"/>
        </w:rPr>
      </w:pPr>
      <w:r>
        <w:rPr>
          <w:rFonts w:hint="eastAsia" w:ascii="仿宋_GB2312" w:hAnsi="仿宋_GB2312" w:eastAsia="仿宋_GB2312" w:cs="仿宋_GB2312"/>
          <w:spacing w:val="-10"/>
          <w:kern w:val="0"/>
          <w:sz w:val="21"/>
          <w:szCs w:val="21"/>
          <w:highlight w:val="none"/>
        </w:rPr>
        <w:t>备注：</w:t>
      </w:r>
      <w:r>
        <w:rPr>
          <w:rFonts w:hint="eastAsia" w:ascii="仿宋_GB2312" w:hAnsi="仿宋_GB2312" w:eastAsia="仿宋_GB2312" w:cs="仿宋_GB2312"/>
          <w:sz w:val="21"/>
          <w:szCs w:val="21"/>
          <w:highlight w:val="none"/>
        </w:rPr>
        <w:t>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档标题注明“作品类别+推荐单位名称+信息表”。</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overflowPunct/>
        <w:topLinePunct w:val="0"/>
        <w:autoSpaceDE w:val="0"/>
        <w:autoSpaceDN w:val="0"/>
        <w:bidi w:val="0"/>
        <w:adjustRightInd w:val="0"/>
        <w:snapToGrid w:val="0"/>
        <w:spacing w:beforeAutospacing="0" w:afterAutospacing="0"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附件2-3</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高校网络教育优秀作品推选展示活动征集汇总表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tc>
        <w:tc>
          <w:tcPr>
            <w:tcW w:w="7657" w:type="dxa"/>
            <w:gridSpan w:val="6"/>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p>
        </w:tc>
        <w:tc>
          <w:tcPr>
            <w:tcW w:w="1423"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457"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    务</w:t>
            </w:r>
          </w:p>
        </w:tc>
        <w:tc>
          <w:tcPr>
            <w:tcW w:w="2144"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423"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24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电子邮箱</w:t>
            </w:r>
          </w:p>
        </w:tc>
        <w:tc>
          <w:tcPr>
            <w:tcW w:w="2144"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423"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通讯地址</w:t>
            </w:r>
          </w:p>
        </w:tc>
        <w:tc>
          <w:tcPr>
            <w:tcW w:w="24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c>
          <w:tcPr>
            <w:tcW w:w="1633"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    编</w:t>
            </w:r>
          </w:p>
        </w:tc>
        <w:tc>
          <w:tcPr>
            <w:tcW w:w="2144"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490" w:type="dxa"/>
            <w:gridSpan w:val="3"/>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作品类别</w:t>
            </w:r>
          </w:p>
        </w:tc>
        <w:tc>
          <w:tcPr>
            <w:tcW w:w="2836" w:type="dxa"/>
            <w:gridSpan w:val="2"/>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ind w:left="-210" w:leftChars="-1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作品名称</w:t>
            </w:r>
          </w:p>
        </w:tc>
        <w:tc>
          <w:tcPr>
            <w:tcW w:w="1633"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作者姓名</w:t>
            </w:r>
          </w:p>
        </w:tc>
        <w:tc>
          <w:tcPr>
            <w:tcW w:w="2144" w:type="dxa"/>
            <w:noWrap w:val="0"/>
            <w:tcMar>
              <w:top w:w="0" w:type="dxa"/>
              <w:bottom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tc>
        <w:tc>
          <w:tcPr>
            <w:tcW w:w="1490" w:type="dxa"/>
            <w:gridSpan w:val="3"/>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8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1633"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c>
          <w:tcPr>
            <w:tcW w:w="2144"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意见</w:t>
            </w:r>
          </w:p>
        </w:tc>
        <w:tc>
          <w:tcPr>
            <w:tcW w:w="7233" w:type="dxa"/>
            <w:gridSpan w:val="5"/>
            <w:noWrap w:val="0"/>
            <w:vAlign w:val="top"/>
          </w:tcPr>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8"/>
                <w:szCs w:val="28"/>
                <w:highlight w:val="none"/>
              </w:rPr>
            </w:pPr>
          </w:p>
          <w:p>
            <w:pPr>
              <w:keepNext w:val="0"/>
              <w:keepLines w:val="0"/>
              <w:pageBreakBefore w:val="0"/>
              <w:kinsoku/>
              <w:topLinePunct w:val="0"/>
              <w:bidi w:val="0"/>
              <w:adjustRightInd w:val="0"/>
              <w:snapToGrid w:val="0"/>
              <w:spacing w:line="520" w:lineRule="exact"/>
              <w:ind w:firstLine="57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负责人：         </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（盖章）</w:t>
            </w:r>
          </w:p>
          <w:p>
            <w:pPr>
              <w:keepNext w:val="0"/>
              <w:keepLines w:val="0"/>
              <w:pageBreakBefore w:val="0"/>
              <w:kinsoku/>
              <w:topLinePunct w:val="0"/>
              <w:bidi w:val="0"/>
              <w:adjustRightInd w:val="0"/>
              <w:snapToGrid w:val="0"/>
              <w:spacing w:line="520" w:lineRule="exact"/>
              <w:ind w:right="894" w:firstLine="3920" w:firstLineChars="1400"/>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  月  日</w:t>
            </w:r>
          </w:p>
        </w:tc>
      </w:tr>
    </w:tbl>
    <w:p>
      <w:pPr>
        <w:keepNext w:val="0"/>
        <w:keepLines w:val="0"/>
        <w:pageBreakBefore w:val="0"/>
        <w:kinsoku/>
        <w:topLinePunct w:val="0"/>
        <w:bidi w:val="0"/>
        <w:adjustRightInd w:val="0"/>
        <w:snapToGrid w:val="0"/>
        <w:spacing w:line="520" w:lineRule="exact"/>
        <w:jc w:val="left"/>
        <w:rPr>
          <w:rFonts w:ascii="Times New Roman" w:hAnsi="Times New Roman" w:eastAsia="仿宋_GB2312" w:cs="Times New Roman"/>
          <w:sz w:val="21"/>
          <w:szCs w:val="21"/>
        </w:rPr>
      </w:pPr>
      <w:r>
        <w:rPr>
          <w:rFonts w:hint="eastAsia" w:ascii="仿宋_GB2312" w:hAnsi="仿宋_GB2312" w:eastAsia="仿宋_GB2312" w:cs="仿宋_GB2312"/>
          <w:sz w:val="21"/>
          <w:szCs w:val="21"/>
          <w:highlight w:val="none"/>
        </w:rPr>
        <w:t>备注：电子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档标题注明“推荐单位名称+汇总表”</w:t>
      </w:r>
      <w:r>
        <w:rPr>
          <w:rFonts w:hint="eastAsia" w:ascii="仿宋_GB2312" w:hAnsi="仿宋_GB2312" w:eastAsia="仿宋_GB2312" w:cs="仿宋_GB2312"/>
          <w:sz w:val="21"/>
          <w:szCs w:val="21"/>
          <w:highlight w:val="none"/>
          <w:lang w:eastAsia="zh-CN"/>
        </w:rPr>
        <w:t>，每类作品单独一张表。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82998-8C08-40EF-810E-5551A731AD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DCE2460-55A9-47D8-A448-F4832CB89AAC}"/>
  </w:font>
  <w:font w:name="方正小标宋简体">
    <w:altName w:val="方正舒体"/>
    <w:panose1 w:val="03000509000000000000"/>
    <w:charset w:val="86"/>
    <w:family w:val="auto"/>
    <w:pitch w:val="default"/>
    <w:sig w:usb0="00000000" w:usb1="00000000" w:usb2="00000000" w:usb3="00000000" w:csb0="00040000" w:csb1="00000000"/>
    <w:embedRegular r:id="rId3" w:fontKey="{72C92269-A2C5-4BD4-8957-7633DBDF225E}"/>
  </w:font>
  <w:font w:name="楷体_GB2312">
    <w:altName w:val="楷体"/>
    <w:panose1 w:val="02010609030101010101"/>
    <w:charset w:val="86"/>
    <w:family w:val="modern"/>
    <w:pitch w:val="default"/>
    <w:sig w:usb0="00000000" w:usb1="00000000" w:usb2="00000000" w:usb3="00000000" w:csb0="00040000" w:csb1="00000000"/>
    <w:embedRegular r:id="rId4" w:fontKey="{6914D5E4-1A88-404E-B5D7-9718355F6E9D}"/>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zU3YTI4NDZlYmFmZjE1NDNjZDc0NDcwMmYzOTMifQ=="/>
  </w:docVars>
  <w:rsids>
    <w:rsidRoot w:val="00CB77C7"/>
    <w:rsid w:val="00053957"/>
    <w:rsid w:val="000E7D95"/>
    <w:rsid w:val="004F2554"/>
    <w:rsid w:val="006C7BEF"/>
    <w:rsid w:val="00CB77C7"/>
    <w:rsid w:val="00D25E47"/>
    <w:rsid w:val="02183124"/>
    <w:rsid w:val="033F5C26"/>
    <w:rsid w:val="07A421D5"/>
    <w:rsid w:val="084E1932"/>
    <w:rsid w:val="0C7B9975"/>
    <w:rsid w:val="10162400"/>
    <w:rsid w:val="11BDE206"/>
    <w:rsid w:val="13CA4BB8"/>
    <w:rsid w:val="1424555C"/>
    <w:rsid w:val="1A4D3DE4"/>
    <w:rsid w:val="1B840D27"/>
    <w:rsid w:val="1DCA21E4"/>
    <w:rsid w:val="1E7F657A"/>
    <w:rsid w:val="21967BF5"/>
    <w:rsid w:val="22462CF1"/>
    <w:rsid w:val="2270571F"/>
    <w:rsid w:val="24D24F1B"/>
    <w:rsid w:val="2B06296A"/>
    <w:rsid w:val="2C3F28F3"/>
    <w:rsid w:val="2D9E1143"/>
    <w:rsid w:val="2ED520D9"/>
    <w:rsid w:val="3076FC65"/>
    <w:rsid w:val="310224D9"/>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7C6590F"/>
    <w:rsid w:val="48C1FF18"/>
    <w:rsid w:val="494D1F68"/>
    <w:rsid w:val="4AFC5498"/>
    <w:rsid w:val="4AFD7EAC"/>
    <w:rsid w:val="4B296DA2"/>
    <w:rsid w:val="4DE457F9"/>
    <w:rsid w:val="4FAD99E9"/>
    <w:rsid w:val="51A178A7"/>
    <w:rsid w:val="51BA08C0"/>
    <w:rsid w:val="52BFE895"/>
    <w:rsid w:val="576454F9"/>
    <w:rsid w:val="5C7A5F50"/>
    <w:rsid w:val="5D201BDF"/>
    <w:rsid w:val="5D590119"/>
    <w:rsid w:val="5F715FD7"/>
    <w:rsid w:val="5F7BF72C"/>
    <w:rsid w:val="5FBFA928"/>
    <w:rsid w:val="5FFB5AE0"/>
    <w:rsid w:val="60D96503"/>
    <w:rsid w:val="613114D9"/>
    <w:rsid w:val="624B51DE"/>
    <w:rsid w:val="642E4ED9"/>
    <w:rsid w:val="673F2446"/>
    <w:rsid w:val="67FFE796"/>
    <w:rsid w:val="68F93BE6"/>
    <w:rsid w:val="69BB0BE7"/>
    <w:rsid w:val="6BF77AE2"/>
    <w:rsid w:val="6F6D2392"/>
    <w:rsid w:val="6FFFB2BB"/>
    <w:rsid w:val="70DF41F8"/>
    <w:rsid w:val="71F14207"/>
    <w:rsid w:val="721B7107"/>
    <w:rsid w:val="73BD3515"/>
    <w:rsid w:val="73FC6604"/>
    <w:rsid w:val="745C0496"/>
    <w:rsid w:val="754FBDB4"/>
    <w:rsid w:val="76A359E3"/>
    <w:rsid w:val="76F794FF"/>
    <w:rsid w:val="7730111A"/>
    <w:rsid w:val="783D7431"/>
    <w:rsid w:val="7D053C99"/>
    <w:rsid w:val="7D3C90DB"/>
    <w:rsid w:val="7ECEEBFB"/>
    <w:rsid w:val="7ED21BEA"/>
    <w:rsid w:val="7FB623D9"/>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E535F9C"/>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autoRedefine/>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718</Words>
  <Characters>4096</Characters>
  <Lines>34</Lines>
  <Paragraphs>9</Paragraphs>
  <TotalTime>4</TotalTime>
  <ScaleCrop>false</ScaleCrop>
  <LinksUpToDate>false</LinksUpToDate>
  <CharactersWithSpaces>4805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2023-09-12T13:51:00Z</dcterms:created>
  <dc:creator>JYB</dc:creator>
  <cp:lastModifiedBy>大雁往南飞</cp:lastModifiedBy>
  <cp:lastPrinted>2023-09-01T03:12:00Z</cp:lastPrinted>
  <dcterms:modified xsi:type="dcterms:W3CDTF">2023-12-25T08:31:39Z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CEDB8124E50A4036B1ABE01B5EED6666_13</vt:lpwstr>
  </property>
</Properties>
</file>